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3221B3" w14:textId="1832C0F1" w:rsidR="00FB144B" w:rsidRPr="00F67398" w:rsidRDefault="00FB144B" w:rsidP="00FB144B">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DE39FF" w:rsidRPr="00DE39FF">
        <w:rPr>
          <w:rFonts w:ascii="Arial" w:hAnsi="Arial"/>
          <w:b/>
          <w:noProof/>
          <w:sz w:val="24"/>
          <w:lang w:val="en-US"/>
        </w:rPr>
        <w:t>R4-210719</w:t>
      </w:r>
      <w:r w:rsidR="00DE39FF">
        <w:rPr>
          <w:rFonts w:ascii="Arial" w:hAnsi="Arial"/>
          <w:b/>
          <w:noProof/>
          <w:sz w:val="24"/>
          <w:lang w:val="en-US"/>
        </w:rPr>
        <w:t>1</w:t>
      </w:r>
    </w:p>
    <w:p w14:paraId="7A438992" w14:textId="77777777" w:rsidR="00FB144B" w:rsidRDefault="00FB144B" w:rsidP="00FB144B">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7D0930F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UE Tx RF aspects for a NR band in the range 52.6GHz – 71GHz</w:t>
      </w:r>
      <w:bookmarkEnd w:id="1"/>
    </w:p>
    <w:p w14:paraId="6B2620CB" w14:textId="2DE40D09"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8.12.</w:t>
      </w:r>
      <w:r w:rsidR="00810566">
        <w:rPr>
          <w:rFonts w:ascii="Arial" w:hAnsi="Arial" w:cs="Arial"/>
          <w:lang w:val="en-US"/>
        </w:rPr>
        <w:t>4.1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1D05FE43"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D6000">
        <w:rPr>
          <w:lang w:val="en-US"/>
        </w:rPr>
        <w:t>91</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84582F">
      <w:pPr>
        <w:pStyle w:val="Heading1"/>
        <w:numPr>
          <w:ilvl w:val="0"/>
          <w:numId w:val="19"/>
        </w:numPr>
      </w:pPr>
      <w:r>
        <w:t>Discussion</w:t>
      </w:r>
    </w:p>
    <w:p w14:paraId="23A41657" w14:textId="3E689BCD" w:rsidR="00B519F6" w:rsidRPr="007110AC" w:rsidRDefault="00B519F6" w:rsidP="00B519F6">
      <w:pPr>
        <w:pStyle w:val="Heading4"/>
      </w:pPr>
      <w:r>
        <w:rPr>
          <w:lang w:val="en-US"/>
        </w:rPr>
        <w:t>Achievable power</w:t>
      </w:r>
      <w:r w:rsidR="00F214E8">
        <w:rPr>
          <w:lang w:val="en-US"/>
        </w:rPr>
        <w:t xml:space="preserve"> and Power Class(es) </w:t>
      </w:r>
    </w:p>
    <w:p w14:paraId="68F9C9B1" w14:textId="77777777" w:rsidR="00B519F6" w:rsidRPr="003E1FB9" w:rsidRDefault="00B519F6" w:rsidP="00B519F6">
      <w:r>
        <w:t xml:space="preserve">Practically achievable maximum transmit power for NR on 52.6-71 GHz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51BB6D15" w14:textId="77777777" w:rsidR="00B519F6" w:rsidRDefault="00B519F6" w:rsidP="00B519F6">
      <w:r w:rsidRPr="003E1FB9">
        <w:t xml:space="preserve">As discussed </w:t>
      </w:r>
      <w:r>
        <w:t>in [3]</w:t>
      </w:r>
      <w:r w:rsidRPr="003E1FB9">
        <w:t>,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from 52.6 GHz to 71 GHz so that phase noise degradations in link performance can be minimized.</w:t>
      </w:r>
    </w:p>
    <w:p w14:paraId="1E549A0B" w14:textId="77777777" w:rsidR="00B519F6" w:rsidRDefault="00B519F6" w:rsidP="00B519F6">
      <w:bookmarkStart w:id="2" w:name="_Hlk54351566"/>
      <w:r>
        <w:t>Achievable UE output power was also evaluated for different array sizes. The results have been captured to table 1.</w:t>
      </w:r>
    </w:p>
    <w:p w14:paraId="2EA6628D" w14:textId="77777777" w:rsidR="00B519F6" w:rsidRPr="002E0CD4" w:rsidRDefault="00B519F6" w:rsidP="00B519F6">
      <w:pPr>
        <w:jc w:val="center"/>
        <w:rPr>
          <w:b/>
          <w:bCs/>
        </w:rPr>
      </w:pPr>
      <w:r w:rsidRPr="002E0CD4">
        <w:rPr>
          <w:b/>
          <w:bCs/>
        </w:rPr>
        <w:t>Table 1: Achievable UE output power for different array sizes</w:t>
      </w:r>
    </w:p>
    <w:tbl>
      <w:tblPr>
        <w:tblW w:w="6700" w:type="dxa"/>
        <w:jc w:val="center"/>
        <w:tblCellMar>
          <w:left w:w="70" w:type="dxa"/>
          <w:right w:w="70" w:type="dxa"/>
        </w:tblCellMar>
        <w:tblLook w:val="04A0" w:firstRow="1" w:lastRow="0" w:firstColumn="1" w:lastColumn="0" w:noHBand="0" w:noVBand="1"/>
      </w:tblPr>
      <w:tblGrid>
        <w:gridCol w:w="1680"/>
        <w:gridCol w:w="960"/>
        <w:gridCol w:w="1015"/>
        <w:gridCol w:w="1015"/>
        <w:gridCol w:w="1015"/>
        <w:gridCol w:w="1015"/>
      </w:tblGrid>
      <w:tr w:rsidR="00B519F6" w:rsidRPr="002E0CD4" w14:paraId="1B98B923" w14:textId="77777777" w:rsidTr="004C5B4E">
        <w:trPr>
          <w:trHeight w:val="300"/>
          <w:jc w:val="center"/>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8ACC"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1C8A34"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EEBB6B"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val="fi-FI" w:eastAsia="fi-FI"/>
              </w:rPr>
              <w:t>Value</w:t>
            </w:r>
          </w:p>
        </w:tc>
      </w:tr>
      <w:tr w:rsidR="00B519F6" w:rsidRPr="002E0CD4" w14:paraId="4A4A0C9E"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D032F3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0E36FDA4" w14:textId="77777777" w:rsidR="00B519F6" w:rsidRPr="002E0CD4" w:rsidRDefault="00B519F6" w:rsidP="004C5B4E">
            <w:pPr>
              <w:spacing w:after="0"/>
              <w:jc w:val="center"/>
              <w:rPr>
                <w:rFonts w:ascii="Arial"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6EAD39F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0694C9B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50A379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440336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16</w:t>
            </w:r>
          </w:p>
        </w:tc>
      </w:tr>
      <w:tr w:rsidR="00B519F6" w:rsidRPr="002E0CD4" w14:paraId="2DC57635"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5D2DA0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5502DCBD"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9DB203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66FCAD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59C5E41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7CCFA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r>
      <w:tr w:rsidR="00B519F6" w:rsidRPr="002E0CD4" w14:paraId="4394558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B548ED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5F9BCA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18C742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61A21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4F94902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116AA6F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r>
      <w:tr w:rsidR="00B519F6" w:rsidRPr="002E0CD4" w14:paraId="7BD41351"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CA2094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F4B2F4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261970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54EABD8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C75DEC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60F03FF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r>
      <w:tr w:rsidR="00B519F6" w:rsidRPr="002E0CD4" w14:paraId="16E223A4" w14:textId="77777777" w:rsidTr="004C5B4E">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1F60A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26EB9546" w14:textId="77777777" w:rsidR="00B519F6" w:rsidRPr="002E0CD4" w:rsidRDefault="00B519F6" w:rsidP="004C5B4E">
            <w:pPr>
              <w:spacing w:after="0"/>
              <w:jc w:val="center"/>
              <w:rPr>
                <w:rFonts w:ascii="Arial" w:hAnsi="Arial" w:cs="Arial"/>
                <w:color w:val="000000"/>
                <w:sz w:val="18"/>
                <w:szCs w:val="18"/>
                <w:lang w:eastAsia="fi-FI"/>
              </w:rPr>
            </w:pPr>
            <w:proofErr w:type="spellStart"/>
            <w:r w:rsidRPr="002E0CD4">
              <w:rPr>
                <w:rFonts w:ascii="Arial"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6CA53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0AE0210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535F58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0BCEC82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13.0</w:t>
            </w:r>
          </w:p>
        </w:tc>
      </w:tr>
      <w:tr w:rsidR="00B519F6" w:rsidRPr="002E0CD4" w14:paraId="1DF9E5A5"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C7E14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0BE0CA3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49BA9F4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77D7E4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44630E1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272052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r>
      <w:tr w:rsidR="00B519F6" w:rsidRPr="002E0CD4" w14:paraId="179FC2CE"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6EBA1A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lastRenderedPageBreak/>
              <w:t>P1d</w:t>
            </w:r>
            <w:r>
              <w:rPr>
                <w:rFonts w:ascii="Arial" w:hAnsi="Arial" w:cs="Arial"/>
                <w:color w:val="000000"/>
                <w:sz w:val="18"/>
                <w:szCs w:val="18"/>
                <w:lang w:eastAsia="fi-FI"/>
              </w:rPr>
              <w:t>B</w:t>
            </w:r>
            <w:r w:rsidRPr="002E0CD4">
              <w:rPr>
                <w:rFonts w:ascii="Arial"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68A4DAF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1771B73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008D646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4B51DDE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EBB6F0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r>
      <w:tr w:rsidR="00B519F6" w:rsidRPr="002E0CD4" w14:paraId="0E020C6C" w14:textId="77777777" w:rsidTr="004C5B4E">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70109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2DC6904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359A7E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2EF8073"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391F5F25"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391DE1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r>
      <w:tr w:rsidR="00B519F6" w:rsidRPr="002E0CD4" w14:paraId="5AE89BE8"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FA34C91"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36BD65D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1AF9AD9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77867A89"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D17C86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71557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20.1</w:t>
            </w:r>
          </w:p>
        </w:tc>
      </w:tr>
      <w:tr w:rsidR="00B519F6" w:rsidRPr="002E0CD4" w14:paraId="406CB0A0" w14:textId="77777777" w:rsidTr="004C5B4E">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8B1FFC7"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4FAE4FBB"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6D359BF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3CAE17B2"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7DCFD8F5"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29C3324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32.9</w:t>
            </w:r>
          </w:p>
        </w:tc>
      </w:tr>
    </w:tbl>
    <w:p w14:paraId="24C0B402" w14:textId="77777777" w:rsidR="00B519F6" w:rsidRDefault="00B519F6" w:rsidP="00B519F6"/>
    <w:p w14:paraId="0FC667F4" w14:textId="77777777" w:rsidR="00B519F6" w:rsidRDefault="00B519F6" w:rsidP="00B519F6">
      <w:r>
        <w:t xml:space="preserve">Any additional implementations losses would naturally lower either EIRP or </w:t>
      </w:r>
      <w:proofErr w:type="gramStart"/>
      <w:r>
        <w:t>both of the TRP</w:t>
      </w:r>
      <w:proofErr w:type="gramEnd"/>
      <w:r>
        <w:t xml:space="preserve"> and EIRP metrics.</w:t>
      </w:r>
    </w:p>
    <w:p w14:paraId="498EAA19" w14:textId="77777777" w:rsidR="00B519F6" w:rsidRDefault="00B519F6" w:rsidP="00B519F6">
      <w:r>
        <w:t xml:space="preserve">From the analysis it can be observed that </w:t>
      </w:r>
      <w:proofErr w:type="gramStart"/>
      <w:r>
        <w:t>as long as</w:t>
      </w:r>
      <w:proofErr w:type="gramEnd"/>
      <w:r>
        <w:t xml:space="preserve"> implementation losses are kept in control it is possible to achieve reasonable output powers. It should be noted that P1dB used in the table may be conservative compared to P1dB achievable from e.g. CMOS technology. Therefore, it can be considered that front-end losses are captured in the analysis already by choosing a low output power per PA.</w:t>
      </w:r>
    </w:p>
    <w:p w14:paraId="01204C3D" w14:textId="77777777" w:rsidR="00B519F6" w:rsidRDefault="00B519F6" w:rsidP="00B519F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4F197AC1" w14:textId="080E17C6" w:rsidR="00B519F6" w:rsidRDefault="00B519F6" w:rsidP="00B519F6">
      <w:pPr>
        <w:rPr>
          <w:b/>
          <w:bCs/>
        </w:rPr>
      </w:pPr>
      <w:r>
        <w:rPr>
          <w:b/>
          <w:bCs/>
        </w:rPr>
        <w:t>Proposal 1: RAN4 strives to keep UE implementation loss budget reasonably small for NR operation above 52.6 GHz to ensure good UL link budget.</w:t>
      </w:r>
    </w:p>
    <w:p w14:paraId="1FB2B949" w14:textId="41C08ED7" w:rsidR="00F0663A" w:rsidRDefault="00F0663A" w:rsidP="00B519F6">
      <w:r w:rsidRPr="00F0663A">
        <w:t xml:space="preserve">When </w:t>
      </w:r>
      <w:r>
        <w:t xml:space="preserve">considering unlicensed </w:t>
      </w:r>
      <w:r w:rsidR="005E3394">
        <w:t>deployments,</w:t>
      </w:r>
      <w:r w:rsidR="008140DF">
        <w:t xml:space="preserve"> it is suggested to align transmit power to </w:t>
      </w:r>
      <w:r w:rsidR="009C7C3C" w:rsidRPr="009C7C3C">
        <w:t>the ETSI EN 303 753 harmonized standard [</w:t>
      </w:r>
      <w:r w:rsidR="009C7C3C">
        <w:t>4</w:t>
      </w:r>
      <w:r w:rsidR="009C7C3C" w:rsidRPr="009C7C3C">
        <w:t>].</w:t>
      </w:r>
      <w:r>
        <w:t xml:space="preserve"> </w:t>
      </w:r>
      <w:r w:rsidR="0051331E">
        <w:t>In here the allowed Tx powers are defined as given in Table 2:</w:t>
      </w:r>
    </w:p>
    <w:p w14:paraId="2813C70C" w14:textId="0C7877D0" w:rsidR="00B832A1" w:rsidRPr="002E0CD4" w:rsidRDefault="00B832A1" w:rsidP="00B832A1">
      <w:pPr>
        <w:jc w:val="center"/>
        <w:rPr>
          <w:b/>
          <w:bCs/>
        </w:rPr>
      </w:pPr>
      <w:r w:rsidRPr="002E0CD4">
        <w:rPr>
          <w:b/>
          <w:bCs/>
        </w:rPr>
        <w:t xml:space="preserve">Table </w:t>
      </w:r>
      <w:r>
        <w:rPr>
          <w:b/>
          <w:bCs/>
        </w:rPr>
        <w:t>2</w:t>
      </w:r>
      <w:r w:rsidRPr="002E0CD4">
        <w:rPr>
          <w:b/>
          <w:bCs/>
        </w:rPr>
        <w:t xml:space="preserve">: </w:t>
      </w:r>
      <w:r w:rsidR="00D915F3">
        <w:rPr>
          <w:b/>
          <w:bCs/>
        </w:rPr>
        <w:t>M</w:t>
      </w:r>
      <w:r w:rsidR="00D915F3" w:rsidRPr="00D915F3">
        <w:rPr>
          <w:b/>
          <w:bCs/>
        </w:rPr>
        <w:t>aximum RF output power</w:t>
      </w:r>
      <w:r w:rsidR="004348AE">
        <w:rPr>
          <w:b/>
          <w:bCs/>
        </w:rPr>
        <w:t xml:space="preserve"> and </w:t>
      </w:r>
      <w:r w:rsidR="004348AE" w:rsidRPr="004348AE">
        <w:rPr>
          <w:b/>
          <w:bCs/>
        </w:rPr>
        <w:t>spectral density</w:t>
      </w:r>
      <w:r w:rsidR="004348AE">
        <w:rPr>
          <w:b/>
          <w:bCs/>
        </w:rPr>
        <w:t xml:space="preserve"> [4]</w:t>
      </w:r>
    </w:p>
    <w:tbl>
      <w:tblPr>
        <w:tblW w:w="5524" w:type="dxa"/>
        <w:jc w:val="center"/>
        <w:tblCellMar>
          <w:left w:w="70" w:type="dxa"/>
          <w:right w:w="70" w:type="dxa"/>
        </w:tblCellMar>
        <w:tblLook w:val="04A0" w:firstRow="1" w:lastRow="0" w:firstColumn="1" w:lastColumn="0" w:noHBand="0" w:noVBand="1"/>
      </w:tblPr>
      <w:tblGrid>
        <w:gridCol w:w="3670"/>
        <w:gridCol w:w="1854"/>
      </w:tblGrid>
      <w:tr w:rsidR="007736EF" w:rsidRPr="002E0CD4" w14:paraId="4B3F303F" w14:textId="77777777" w:rsidTr="007736EF">
        <w:trPr>
          <w:trHeight w:val="48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B21A" w14:textId="23996672" w:rsidR="007736EF" w:rsidRPr="002E0CD4" w:rsidRDefault="000C4297" w:rsidP="004C5B4E">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539F5188" w14:textId="2F7A52DA" w:rsidR="007736EF" w:rsidRPr="002E0CD4" w:rsidRDefault="00CB52F4"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40 dB</w:t>
            </w:r>
            <w:r w:rsidR="00F33B81">
              <w:rPr>
                <w:rFonts w:ascii="Arial" w:hAnsi="Arial" w:cs="Arial"/>
                <w:color w:val="000000"/>
                <w:sz w:val="18"/>
                <w:szCs w:val="18"/>
                <w:lang w:eastAsia="fi-FI"/>
              </w:rPr>
              <w:t>m</w:t>
            </w:r>
          </w:p>
        </w:tc>
      </w:tr>
      <w:tr w:rsidR="007736EF" w:rsidRPr="002E0CD4" w14:paraId="062FCD3F" w14:textId="77777777" w:rsidTr="007736EF">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522AAF7C" w14:textId="6E5710E5" w:rsidR="007736EF" w:rsidRPr="002E0CD4" w:rsidRDefault="00D52D57" w:rsidP="004C5B4E">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4A9B16A4" w14:textId="1BCDF0AF" w:rsidR="007736EF" w:rsidRPr="002E0CD4" w:rsidRDefault="00BD4962"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D71B4B" w:rsidRPr="002E0CD4" w14:paraId="4ADBE399" w14:textId="77777777" w:rsidTr="007736EF">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507BB8E5" w14:textId="6CCE7F7E" w:rsidR="00D71B4B" w:rsidRPr="00D52D57" w:rsidRDefault="00D71B4B"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3570FE63" w14:textId="5D433AA5" w:rsidR="00D71B4B" w:rsidRDefault="00D71B4B"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736EF" w:rsidRPr="002E0CD4" w14:paraId="7497D68D" w14:textId="77777777" w:rsidTr="007736EF">
        <w:trPr>
          <w:trHeight w:val="48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2E19232" w14:textId="6E405F5D" w:rsidR="007736EF" w:rsidRPr="002E0CD4" w:rsidRDefault="00B832A1" w:rsidP="004C5B4E">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52B27DBA" w14:textId="68521CEC" w:rsidR="007736EF" w:rsidRPr="002E0CD4" w:rsidRDefault="0033680E" w:rsidP="004C5B4E">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w:t>
            </w:r>
            <w:r w:rsidR="003519E3">
              <w:rPr>
                <w:rFonts w:ascii="Arial" w:hAnsi="Arial" w:cs="Arial"/>
                <w:color w:val="000000"/>
                <w:sz w:val="18"/>
                <w:szCs w:val="18"/>
                <w:lang w:eastAsia="fi-FI"/>
              </w:rPr>
              <w:t>H</w:t>
            </w:r>
            <w:r>
              <w:rPr>
                <w:rFonts w:ascii="Arial" w:hAnsi="Arial" w:cs="Arial"/>
                <w:color w:val="000000"/>
                <w:sz w:val="18"/>
                <w:szCs w:val="18"/>
                <w:lang w:eastAsia="fi-FI"/>
              </w:rPr>
              <w:t>z</w:t>
            </w:r>
          </w:p>
        </w:tc>
      </w:tr>
    </w:tbl>
    <w:p w14:paraId="15EAE5A9" w14:textId="021C5966" w:rsidR="0051331E" w:rsidRDefault="0051331E" w:rsidP="00B519F6"/>
    <w:p w14:paraId="45236638" w14:textId="2EE5081C" w:rsidR="004F0868" w:rsidRDefault="000E0D32" w:rsidP="000E0D32">
      <w:pPr>
        <w:rPr>
          <w:b/>
          <w:bCs/>
        </w:rPr>
      </w:pPr>
      <w:r>
        <w:rPr>
          <w:b/>
          <w:bCs/>
        </w:rPr>
        <w:t>Proposal 2: For a</w:t>
      </w:r>
      <w:r w:rsidR="004F0868">
        <w:rPr>
          <w:b/>
          <w:bCs/>
        </w:rPr>
        <w:t xml:space="preserve">n unlicensed </w:t>
      </w:r>
      <w:r w:rsidR="004F0868" w:rsidRPr="004F0868">
        <w:rPr>
          <w:b/>
          <w:bCs/>
        </w:rPr>
        <w:t xml:space="preserve">NR band </w:t>
      </w:r>
      <w:r w:rsidR="004F0868">
        <w:rPr>
          <w:b/>
          <w:bCs/>
        </w:rPr>
        <w:t xml:space="preserve">adopt the power limits </w:t>
      </w:r>
      <w:r w:rsidR="00623907">
        <w:rPr>
          <w:b/>
          <w:bCs/>
        </w:rPr>
        <w:t>given in Table 2</w:t>
      </w:r>
      <w:r w:rsidR="004D3B2D">
        <w:rPr>
          <w:b/>
          <w:bCs/>
        </w:rPr>
        <w:t xml:space="preserve"> as a baseline</w:t>
      </w:r>
    </w:p>
    <w:p w14:paraId="264E63BF" w14:textId="30A9B9BF" w:rsidR="00623907" w:rsidRDefault="00DF5633" w:rsidP="000E0D32">
      <w:r w:rsidRPr="00DF5633">
        <w:t xml:space="preserve">As </w:t>
      </w:r>
      <w:r>
        <w:t xml:space="preserve">seen from the limits </w:t>
      </w:r>
      <w:r w:rsidR="00061F26">
        <w:t>given in Table 2 it is not obvious which, if any, of the existing power classes in 38.101-2 can be reused for a</w:t>
      </w:r>
      <w:r w:rsidR="00801121">
        <w:t>n</w:t>
      </w:r>
      <w:r w:rsidR="00061F26">
        <w:t xml:space="preserve"> unlic</w:t>
      </w:r>
      <w:r w:rsidR="00801121">
        <w:t xml:space="preserve">ensed NR band. </w:t>
      </w:r>
      <w:r w:rsidR="00E127FD">
        <w:t xml:space="preserve">Also, </w:t>
      </w:r>
      <w:r w:rsidR="00066ED7" w:rsidRPr="00066ED7">
        <w:t>UE spherical coverage</w:t>
      </w:r>
      <w:r w:rsidR="00E127FD">
        <w:t xml:space="preserve"> is currently not addressed in </w:t>
      </w:r>
      <w:r w:rsidR="00E127FD" w:rsidRPr="009C7C3C">
        <w:t>the ETSI EN 303 753 harmonized standard [</w:t>
      </w:r>
      <w:r w:rsidR="00E127FD">
        <w:t>4</w:t>
      </w:r>
      <w:r w:rsidR="00E127FD" w:rsidRPr="009C7C3C">
        <w:t>]</w:t>
      </w:r>
      <w:r w:rsidR="00E127FD">
        <w:t xml:space="preserve"> why further </w:t>
      </w:r>
      <w:r w:rsidR="004D3B2D">
        <w:t>discussion is needed in RAN4 before a power class can be determined for a</w:t>
      </w:r>
      <w:r w:rsidR="00A9347C">
        <w:t>n</w:t>
      </w:r>
      <w:r w:rsidR="004D3B2D">
        <w:t xml:space="preserve"> unlicensed NR band.</w:t>
      </w:r>
    </w:p>
    <w:p w14:paraId="7AAF8C0E" w14:textId="48324BD0" w:rsidR="625D7844" w:rsidRDefault="625D7844" w:rsidP="625F5BD8">
      <w:r>
        <w:t>Both achievable EIRP and receiver sensitivity have a dependence on the antenna array size. It would be therefore beneficial to discuss what are typical array sizes for the targeted device form factors and/or power classes.</w:t>
      </w:r>
    </w:p>
    <w:p w14:paraId="611F05B0" w14:textId="45DE041C" w:rsidR="004D3B2D" w:rsidRDefault="00D273A8" w:rsidP="000E0D32">
      <w:pPr>
        <w:rPr>
          <w:b/>
          <w:bCs/>
        </w:rPr>
      </w:pPr>
      <w:r>
        <w:rPr>
          <w:b/>
          <w:bCs/>
        </w:rPr>
        <w:t xml:space="preserve">Proposal 3: Further discuss </w:t>
      </w:r>
      <w:r w:rsidRPr="00D273A8">
        <w:rPr>
          <w:b/>
          <w:bCs/>
        </w:rPr>
        <w:t>which, if any, of the existing power classes in 38.101-2 can be reused for an unlicensed NR band</w:t>
      </w:r>
      <w:r>
        <w:rPr>
          <w:b/>
          <w:bCs/>
        </w:rPr>
        <w:t xml:space="preserve"> or a new power class is needed.</w:t>
      </w:r>
      <w:r w:rsidR="0D905F26" w:rsidRPr="625F5BD8">
        <w:rPr>
          <w:b/>
          <w:bCs/>
        </w:rPr>
        <w:t xml:space="preserve"> As </w:t>
      </w:r>
      <w:r w:rsidR="66EB0404" w:rsidRPr="625F5BD8">
        <w:rPr>
          <w:b/>
          <w:bCs/>
        </w:rPr>
        <w:t>basis for</w:t>
      </w:r>
      <w:r w:rsidR="0D905F26" w:rsidRPr="625F5BD8">
        <w:rPr>
          <w:b/>
          <w:bCs/>
        </w:rPr>
        <w:t xml:space="preserve"> power class definition, it is beneficial to discuss what are </w:t>
      </w:r>
      <w:r w:rsidR="669709AF" w:rsidRPr="625F5BD8">
        <w:rPr>
          <w:b/>
          <w:bCs/>
        </w:rPr>
        <w:t>representative antenna array sizes in this frequency range.</w:t>
      </w:r>
    </w:p>
    <w:p w14:paraId="1D5F2830" w14:textId="3511E720" w:rsidR="00D273A8" w:rsidRPr="00405738" w:rsidRDefault="00405738" w:rsidP="000E0D32">
      <w:r w:rsidRPr="00405738">
        <w:t xml:space="preserve">Since </w:t>
      </w:r>
      <w:r>
        <w:t xml:space="preserve">there are no clear regulative basis for any licensed </w:t>
      </w:r>
      <w:r w:rsidRPr="00405738">
        <w:t>NR band in the range 52.6GHz – 71GHz</w:t>
      </w:r>
      <w:r w:rsidR="00893293">
        <w:t xml:space="preserve"> it is suggested to </w:t>
      </w:r>
      <w:r w:rsidR="00196D49">
        <w:t xml:space="preserve">wait with further discussion on RF </w:t>
      </w:r>
      <w:r w:rsidR="00F56FB1">
        <w:t xml:space="preserve">output </w:t>
      </w:r>
      <w:r w:rsidR="00196D49">
        <w:t xml:space="preserve">limits until </w:t>
      </w:r>
      <w:r w:rsidR="00196D49" w:rsidRPr="00196D49">
        <w:t xml:space="preserve">spectrum availability </w:t>
      </w:r>
      <w:r w:rsidR="00196D49">
        <w:t xml:space="preserve">becomes clear </w:t>
      </w:r>
      <w:r w:rsidR="00196D49" w:rsidRPr="00196D49">
        <w:t xml:space="preserve">and regulations </w:t>
      </w:r>
      <w:r w:rsidR="00196D49">
        <w:t>is</w:t>
      </w:r>
      <w:r w:rsidR="00196D49" w:rsidRPr="00196D49">
        <w:t xml:space="preserve"> available.</w:t>
      </w:r>
    </w:p>
    <w:p w14:paraId="149E629E" w14:textId="2A7638FE" w:rsidR="000E0D32" w:rsidRPr="00893293" w:rsidRDefault="00893293" w:rsidP="00B519F6">
      <w:pPr>
        <w:rPr>
          <w:b/>
          <w:bCs/>
        </w:rPr>
      </w:pPr>
      <w:r w:rsidRPr="00893293">
        <w:rPr>
          <w:b/>
          <w:bCs/>
        </w:rPr>
        <w:t xml:space="preserve">Proposal 4: Postpone discussing RF </w:t>
      </w:r>
      <w:r w:rsidR="00F56FB1">
        <w:rPr>
          <w:b/>
          <w:bCs/>
        </w:rPr>
        <w:t xml:space="preserve">output </w:t>
      </w:r>
      <w:r w:rsidRPr="00893293">
        <w:rPr>
          <w:b/>
          <w:bCs/>
        </w:rPr>
        <w:t xml:space="preserve">limits for a licensed band until </w:t>
      </w:r>
      <w:bookmarkStart w:id="3" w:name="_Hlk67399522"/>
      <w:r w:rsidRPr="00893293">
        <w:rPr>
          <w:b/>
          <w:bCs/>
        </w:rPr>
        <w:t>spectrum and regulations becomes available.</w:t>
      </w:r>
    </w:p>
    <w:bookmarkEnd w:id="2"/>
    <w:bookmarkEnd w:id="3"/>
    <w:p w14:paraId="1F87199B" w14:textId="5AB3A9DE" w:rsidR="00B519F6" w:rsidRDefault="00B519F6" w:rsidP="00365A4D">
      <w:pPr>
        <w:pStyle w:val="Heading4"/>
        <w:rPr>
          <w:lang w:val="en-US"/>
        </w:rPr>
      </w:pPr>
      <w:r>
        <w:rPr>
          <w:lang w:val="en-US"/>
        </w:rPr>
        <w:t xml:space="preserve">Co-existence </w:t>
      </w:r>
      <w:r w:rsidR="00365A4D">
        <w:rPr>
          <w:lang w:val="en-US"/>
        </w:rPr>
        <w:t xml:space="preserve">study </w:t>
      </w:r>
    </w:p>
    <w:p w14:paraId="1CEE05EF" w14:textId="46A10222" w:rsidR="00B519F6" w:rsidRPr="003B4733" w:rsidDel="001A529A" w:rsidRDefault="00B519F6" w:rsidP="00B519F6">
      <w:pPr>
        <w:rPr>
          <w:color w:val="000000" w:themeColor="text1"/>
          <w:lang w:val="en-US"/>
        </w:rPr>
      </w:pPr>
      <w:r w:rsidRPr="003B4733">
        <w:rPr>
          <w:color w:val="000000" w:themeColor="text1"/>
          <w:lang w:val="en-US"/>
        </w:rPr>
        <w:t xml:space="preserve">One major part of the work in defining requirements for a new frequency range is to run co-existence simulations to find out what is the required ACLR and ACS performance required to guarantee co-existence between operators in the </w:t>
      </w:r>
      <w:r w:rsidRPr="003B4733">
        <w:rPr>
          <w:color w:val="000000" w:themeColor="text1"/>
          <w:lang w:val="en-US"/>
        </w:rPr>
        <w:lastRenderedPageBreak/>
        <w:t>network. Co-existence study for 45 GHz and 70 GHz frequency range was already done as part of NR study item, and the parameters used in the study reflect the device characteristics sufficiently well. Therefore, we propose that no new co-existence simulation study is done, but instead the applicable ACLR and ACS performance for UEs is extracted from co-existence study results documented in TR 38.803.</w:t>
      </w:r>
      <w:r w:rsidR="00AE5144">
        <w:rPr>
          <w:color w:val="000000" w:themeColor="text1"/>
          <w:lang w:val="en-US"/>
        </w:rPr>
        <w:t xml:space="preserve"> </w:t>
      </w:r>
      <w:r w:rsidR="00AE5144">
        <w:t xml:space="preserve">Note that the required ACIR values for channel bandwidth wider than 200MHz (which was used in </w:t>
      </w:r>
      <w:r w:rsidR="00AE5144">
        <w:rPr>
          <w:rFonts w:cs="v5.0.0"/>
        </w:rPr>
        <w:t>the NR study item</w:t>
      </w:r>
      <w:r w:rsidR="00AE5144">
        <w:t>)</w:t>
      </w:r>
      <w:r w:rsidR="00AE5144" w:rsidRPr="00974380">
        <w:t xml:space="preserve"> </w:t>
      </w:r>
      <w:r w:rsidR="00AE5144">
        <w:t xml:space="preserve">should be smaller considering the relatively impact of the ACI on the higher noise floor with the wider receive bandwidth, so there should be no issue to use the </w:t>
      </w:r>
      <w:r w:rsidR="00AE5144">
        <w:rPr>
          <w:rFonts w:cs="v5.0.0"/>
        </w:rPr>
        <w:t xml:space="preserve">ACLR and ACS values from the NR study item </w:t>
      </w:r>
      <w:r w:rsidR="00AE5144">
        <w:t>for channel bandwidth wider than 200MHz.</w:t>
      </w:r>
    </w:p>
    <w:p w14:paraId="72666542" w14:textId="77777777" w:rsidR="00B519F6" w:rsidRPr="003B4733" w:rsidDel="001A529A" w:rsidRDefault="00B519F6" w:rsidP="00B519F6">
      <w:pPr>
        <w:rPr>
          <w:color w:val="000000" w:themeColor="text1"/>
          <w:lang w:val="en-US"/>
        </w:rPr>
      </w:pPr>
      <w:r w:rsidRPr="003B4733">
        <w:rPr>
          <w:b/>
          <w:bCs/>
          <w:color w:val="000000" w:themeColor="text1"/>
        </w:rPr>
        <w:t>Observation 2: Co-existence study for this frequency range has already been documented in TR 38.803</w:t>
      </w:r>
    </w:p>
    <w:p w14:paraId="5D478119" w14:textId="7DFE2B2F" w:rsidR="00B519F6" w:rsidRDefault="00B519F6" w:rsidP="00B519F6">
      <w:pPr>
        <w:rPr>
          <w:b/>
          <w:bCs/>
          <w:color w:val="000000" w:themeColor="text1"/>
        </w:rPr>
      </w:pPr>
      <w:r w:rsidRPr="7FEEF213">
        <w:rPr>
          <w:b/>
          <w:bCs/>
          <w:color w:val="000000" w:themeColor="text1"/>
        </w:rPr>
        <w:t xml:space="preserve">Proposal </w:t>
      </w:r>
      <w:r w:rsidR="005365A0">
        <w:rPr>
          <w:b/>
          <w:bCs/>
          <w:color w:val="000000" w:themeColor="text1"/>
        </w:rPr>
        <w:t>5</w:t>
      </w:r>
      <w:r w:rsidRPr="7FEEF213">
        <w:rPr>
          <w:b/>
          <w:bCs/>
          <w:color w:val="000000" w:themeColor="text1"/>
        </w:rPr>
        <w:t>: Extract the ACLR and ACS requirements from TR 38.803</w:t>
      </w:r>
      <w:r w:rsidR="00CC0138">
        <w:rPr>
          <w:b/>
          <w:bCs/>
          <w:color w:val="000000" w:themeColor="text1"/>
        </w:rPr>
        <w:t xml:space="preserve"> for licensed operation</w:t>
      </w:r>
    </w:p>
    <w:p w14:paraId="502D3041" w14:textId="7468E0E3" w:rsidR="000935A2" w:rsidRDefault="000935A2" w:rsidP="000935A2">
      <w:r w:rsidRPr="00F0663A">
        <w:t xml:space="preserve">When </w:t>
      </w:r>
      <w:r>
        <w:t>considering unlicensed deployments, it is suggested</w:t>
      </w:r>
      <w:r w:rsidR="00DF54A2">
        <w:t xml:space="preserve"> to </w:t>
      </w:r>
      <w:r w:rsidR="003847E5">
        <w:t xml:space="preserve">also </w:t>
      </w:r>
      <w:r w:rsidR="00DF54A2">
        <w:t xml:space="preserve">consider </w:t>
      </w:r>
      <w:r w:rsidR="003847E5">
        <w:t xml:space="preserve">alignment </w:t>
      </w:r>
      <w:r w:rsidR="003847E5" w:rsidRPr="009C7C3C">
        <w:t>the ETSI EN 303 753 harmonized standard</w:t>
      </w:r>
      <w:r w:rsidR="003847E5">
        <w:t xml:space="preserve">. However, the requirements related to ACLR and ACS have not yet been included. Therefor a starting point could be to consider </w:t>
      </w:r>
      <w:r w:rsidR="005071EF" w:rsidRPr="005071EF">
        <w:t>802.11 ad/ay</w:t>
      </w:r>
      <w:r w:rsidR="005071EF">
        <w:t xml:space="preserve"> to ensure co-existence </w:t>
      </w:r>
      <w:r w:rsidR="0084015A">
        <w:t>in the shared spectrum.</w:t>
      </w:r>
    </w:p>
    <w:p w14:paraId="6A37F860" w14:textId="6F33FDC5" w:rsidR="00CC0138" w:rsidRDefault="00CC0138" w:rsidP="00CC0138">
      <w:pPr>
        <w:rPr>
          <w:b/>
          <w:bCs/>
          <w:color w:val="000000" w:themeColor="text1"/>
        </w:rPr>
      </w:pPr>
      <w:r w:rsidRPr="7FEEF213">
        <w:rPr>
          <w:b/>
          <w:bCs/>
          <w:color w:val="000000" w:themeColor="text1"/>
        </w:rPr>
        <w:t xml:space="preserve">Proposal </w:t>
      </w:r>
      <w:r>
        <w:rPr>
          <w:b/>
          <w:bCs/>
          <w:color w:val="000000" w:themeColor="text1"/>
        </w:rPr>
        <w:t>6</w:t>
      </w:r>
      <w:r w:rsidRPr="7FEEF213">
        <w:rPr>
          <w:b/>
          <w:bCs/>
          <w:color w:val="000000" w:themeColor="text1"/>
        </w:rPr>
        <w:t xml:space="preserve">: </w:t>
      </w:r>
      <w:r>
        <w:rPr>
          <w:b/>
          <w:bCs/>
          <w:color w:val="000000" w:themeColor="text1"/>
        </w:rPr>
        <w:t>Consider</w:t>
      </w:r>
      <w:r w:rsidRPr="7FEEF213">
        <w:rPr>
          <w:b/>
          <w:bCs/>
          <w:color w:val="000000" w:themeColor="text1"/>
        </w:rPr>
        <w:t xml:space="preserve"> ACLR and ACS requirements </w:t>
      </w:r>
      <w:r>
        <w:rPr>
          <w:b/>
          <w:bCs/>
          <w:color w:val="000000" w:themeColor="text1"/>
        </w:rPr>
        <w:t xml:space="preserve">aligned to </w:t>
      </w:r>
      <w:r w:rsidRPr="00CC0138">
        <w:rPr>
          <w:b/>
          <w:bCs/>
          <w:color w:val="000000" w:themeColor="text1"/>
        </w:rPr>
        <w:t>ETSI EN 303 753 harmonized standard</w:t>
      </w:r>
      <w:r>
        <w:rPr>
          <w:b/>
          <w:bCs/>
          <w:color w:val="000000" w:themeColor="text1"/>
        </w:rPr>
        <w:t xml:space="preserve"> and/or </w:t>
      </w:r>
      <w:r w:rsidRPr="00CC0138">
        <w:rPr>
          <w:b/>
          <w:bCs/>
          <w:color w:val="000000" w:themeColor="text1"/>
        </w:rPr>
        <w:t>802.11 ad/ay</w:t>
      </w:r>
      <w:r w:rsidR="007E654B">
        <w:rPr>
          <w:b/>
          <w:bCs/>
          <w:color w:val="000000" w:themeColor="text1"/>
        </w:rPr>
        <w:t xml:space="preserve"> for unlicensed operation</w:t>
      </w:r>
      <w:r>
        <w:rPr>
          <w:b/>
          <w:bCs/>
          <w:color w:val="000000" w:themeColor="text1"/>
        </w:rPr>
        <w:t>.</w:t>
      </w:r>
    </w:p>
    <w:p w14:paraId="2DC9A92A" w14:textId="77777777" w:rsidR="00B519F6" w:rsidRDefault="00B519F6" w:rsidP="00411FCE">
      <w:pPr>
        <w:pStyle w:val="Heading4"/>
        <w:rPr>
          <w:lang w:val="en-US"/>
        </w:rPr>
      </w:pPr>
      <w:r>
        <w:rPr>
          <w:lang w:val="en-US"/>
        </w:rPr>
        <w:t>Measurement bandwidths</w:t>
      </w:r>
    </w:p>
    <w:p w14:paraId="2C6B890D" w14:textId="7D7C013D" w:rsidR="00B519F6" w:rsidRDefault="00B519F6" w:rsidP="00B519F6">
      <w:pPr>
        <w:rPr>
          <w:color w:val="000000" w:themeColor="text1"/>
          <w:lang w:val="en-US"/>
        </w:rPr>
      </w:pPr>
      <w:r>
        <w:rPr>
          <w:color w:val="000000" w:themeColor="text1"/>
          <w:lang w:val="en-US"/>
        </w:rPr>
        <w:t>In RAN4#97-e a way forward was agreed that observations on potential measurement bandwidth step increases can be captured in the SI [</w:t>
      </w:r>
      <w:r w:rsidR="00736160">
        <w:rPr>
          <w:color w:val="000000" w:themeColor="text1"/>
          <w:lang w:val="en-US"/>
        </w:rPr>
        <w:t>5</w:t>
      </w:r>
      <w:r>
        <w:rPr>
          <w:color w:val="000000" w:themeColor="text1"/>
          <w:lang w:val="en-US"/>
        </w:rPr>
        <w:t xml:space="preserve">]. Firstly, it is important to note that spectrum regulations may specify emission limits with specific measurement bandwidth and therefore regulations need to be </w:t>
      </w:r>
      <w:proofErr w:type="gramStart"/>
      <w:r>
        <w:rPr>
          <w:color w:val="000000" w:themeColor="text1"/>
          <w:lang w:val="en-US"/>
        </w:rPr>
        <w:t>taken into account</w:t>
      </w:r>
      <w:proofErr w:type="gramEnd"/>
      <w:r>
        <w:rPr>
          <w:color w:val="000000" w:themeColor="text1"/>
          <w:lang w:val="en-US"/>
        </w:rPr>
        <w:t xml:space="preserve"> when measurement bandwidth is considered.</w:t>
      </w:r>
    </w:p>
    <w:p w14:paraId="34757491" w14:textId="77777777" w:rsidR="00B519F6" w:rsidRPr="005F608C" w:rsidDel="001A529A" w:rsidRDefault="00B519F6" w:rsidP="00B519F6">
      <w:pPr>
        <w:rPr>
          <w:b/>
          <w:bCs/>
          <w:color w:val="000000" w:themeColor="text1"/>
          <w:lang w:val="en-US"/>
        </w:rPr>
      </w:pPr>
      <w:r w:rsidRPr="005F608C">
        <w:rPr>
          <w:b/>
          <w:bCs/>
          <w:color w:val="000000" w:themeColor="text1"/>
          <w:lang w:val="en-US"/>
        </w:rPr>
        <w:t xml:space="preserve">Observation 3: Regulations need to be </w:t>
      </w:r>
      <w:proofErr w:type="gramStart"/>
      <w:r w:rsidRPr="005F608C">
        <w:rPr>
          <w:b/>
          <w:bCs/>
          <w:color w:val="000000" w:themeColor="text1"/>
          <w:lang w:val="en-US"/>
        </w:rPr>
        <w:t>taken into account</w:t>
      </w:r>
      <w:proofErr w:type="gramEnd"/>
      <w:r w:rsidRPr="005F608C">
        <w:rPr>
          <w:b/>
          <w:bCs/>
          <w:color w:val="000000" w:themeColor="text1"/>
          <w:lang w:val="en-US"/>
        </w:rPr>
        <w:t xml:space="preserve"> when measurement bandwidth is considered.</w:t>
      </w:r>
    </w:p>
    <w:p w14:paraId="1905A509" w14:textId="77777777" w:rsidR="00B519F6" w:rsidRDefault="00B519F6" w:rsidP="00B519F6">
      <w:pPr>
        <w:tabs>
          <w:tab w:val="left" w:pos="1896"/>
        </w:tabs>
        <w:spacing w:after="0"/>
        <w:rPr>
          <w:iCs/>
          <w:lang w:eastAsia="x-none"/>
        </w:rPr>
      </w:pPr>
      <w:r>
        <w:rPr>
          <w:iCs/>
          <w:lang w:eastAsia="x-none"/>
        </w:rPr>
        <w:t xml:space="preserve">From technical perspective, measurement bandwidth should be reasonable compared to the bandwidths of the spectral components that are intended to be captured. If the intention is to observe the very highest peak of a wideband emission, narrow measurement bandwidth is still needed. If the intention is more to capture the total power of some spectral content, then it is sufficient that measurement bandwidth is </w:t>
      </w:r>
      <w:proofErr w:type="gramStart"/>
      <w:r>
        <w:rPr>
          <w:iCs/>
          <w:lang w:eastAsia="x-none"/>
        </w:rPr>
        <w:t>similar to</w:t>
      </w:r>
      <w:proofErr w:type="gramEnd"/>
      <w:r>
        <w:rPr>
          <w:iCs/>
          <w:lang w:eastAsia="x-none"/>
        </w:rPr>
        <w:t xml:space="preserve"> the signal to be captured. </w:t>
      </w:r>
    </w:p>
    <w:p w14:paraId="08991341" w14:textId="77777777" w:rsidR="00B519F6" w:rsidRDefault="00B519F6" w:rsidP="00B519F6">
      <w:pPr>
        <w:tabs>
          <w:tab w:val="left" w:pos="1896"/>
        </w:tabs>
        <w:spacing w:after="0"/>
        <w:rPr>
          <w:iCs/>
          <w:lang w:eastAsia="x-none"/>
        </w:rPr>
      </w:pPr>
    </w:p>
    <w:p w14:paraId="738454F0" w14:textId="77777777" w:rsidR="00B519F6" w:rsidRDefault="00B519F6" w:rsidP="00B519F6">
      <w:pPr>
        <w:tabs>
          <w:tab w:val="left" w:pos="1896"/>
        </w:tabs>
        <w:spacing w:after="0"/>
        <w:rPr>
          <w:iCs/>
          <w:lang w:eastAsia="x-none"/>
        </w:rPr>
      </w:pPr>
      <w:r>
        <w:rPr>
          <w:iCs/>
          <w:lang w:eastAsia="x-none"/>
        </w:rPr>
        <w:t xml:space="preserve">For NR operation from 52.6 to 71 GHz, subcarrier spacings range from 120 kHz to 960 kHz. Therefore, the bandwidth of a single resource block, consisting of 12 subcarriers, ranges from 1.44 MHz to 11.52 </w:t>
      </w:r>
      <w:proofErr w:type="spellStart"/>
      <w:r>
        <w:rPr>
          <w:iCs/>
          <w:lang w:eastAsia="x-none"/>
        </w:rPr>
        <w:t>MHz.</w:t>
      </w:r>
      <w:proofErr w:type="spellEnd"/>
      <w:r>
        <w:rPr>
          <w:iCs/>
          <w:lang w:eastAsia="x-none"/>
        </w:rPr>
        <w:t xml:space="preserve"> For these RB bandwidths, 3</w:t>
      </w:r>
      <w:r w:rsidRPr="00FA72EC">
        <w:rPr>
          <w:iCs/>
          <w:vertAlign w:val="superscript"/>
          <w:lang w:eastAsia="x-none"/>
        </w:rPr>
        <w:t>rd</w:t>
      </w:r>
      <w:r>
        <w:rPr>
          <w:iCs/>
          <w:lang w:eastAsia="x-none"/>
        </w:rPr>
        <w:t xml:space="preserve"> order intermodulation component resulting from 1RB allocation can extend up to 4.32 to 34.56 </w:t>
      </w:r>
      <w:proofErr w:type="spellStart"/>
      <w:r>
        <w:rPr>
          <w:iCs/>
          <w:lang w:eastAsia="x-none"/>
        </w:rPr>
        <w:t>MHz.</w:t>
      </w:r>
      <w:proofErr w:type="spellEnd"/>
      <w:r>
        <w:rPr>
          <w:iCs/>
          <w:lang w:eastAsia="x-none"/>
        </w:rPr>
        <w:t xml:space="preserve"> Therefore, using 1 MHz measurement bandwidth does not seem reasonable especially for wide subcarrier spacings.</w:t>
      </w:r>
    </w:p>
    <w:p w14:paraId="36BB8176" w14:textId="77777777" w:rsidR="00B519F6" w:rsidRDefault="00B519F6" w:rsidP="00B519F6">
      <w:pPr>
        <w:tabs>
          <w:tab w:val="left" w:pos="1896"/>
        </w:tabs>
        <w:spacing w:after="0"/>
        <w:rPr>
          <w:iCs/>
          <w:lang w:eastAsia="x-none"/>
        </w:rPr>
      </w:pPr>
    </w:p>
    <w:p w14:paraId="52625286" w14:textId="77777777" w:rsidR="00B519F6" w:rsidRDefault="00B519F6" w:rsidP="00B519F6">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2104C389" w14:textId="77777777" w:rsidR="00B519F6" w:rsidRDefault="00B519F6" w:rsidP="00B519F6">
      <w:pPr>
        <w:tabs>
          <w:tab w:val="left" w:pos="1896"/>
        </w:tabs>
        <w:spacing w:after="0"/>
        <w:rPr>
          <w:b/>
          <w:bCs/>
          <w:iCs/>
          <w:lang w:eastAsia="x-none"/>
        </w:rPr>
      </w:pPr>
    </w:p>
    <w:p w14:paraId="4ECE24FA" w14:textId="42D4EAF8" w:rsidR="00B519F6" w:rsidRDefault="00B519F6" w:rsidP="00B519F6">
      <w:pPr>
        <w:tabs>
          <w:tab w:val="left" w:pos="1896"/>
        </w:tabs>
        <w:spacing w:after="0"/>
        <w:rPr>
          <w:b/>
          <w:bCs/>
          <w:iCs/>
          <w:lang w:eastAsia="x-none"/>
        </w:rPr>
      </w:pPr>
      <w:r>
        <w:rPr>
          <w:b/>
          <w:bCs/>
          <w:iCs/>
          <w:lang w:eastAsia="x-none"/>
        </w:rPr>
        <w:t xml:space="preserve">Proposal </w:t>
      </w:r>
      <w:r w:rsidR="00106891">
        <w:rPr>
          <w:b/>
          <w:bCs/>
          <w:iCs/>
          <w:lang w:eastAsia="x-none"/>
        </w:rPr>
        <w:t>7</w:t>
      </w:r>
      <w:r>
        <w:rPr>
          <w:b/>
          <w:bCs/>
          <w:iCs/>
          <w:lang w:eastAsia="x-none"/>
        </w:rPr>
        <w:t>: Consider specifying wider measurement bandwidth than 1 MHz at least for 960 kHz SCS in case regulatory requirements allow it.</w:t>
      </w:r>
    </w:p>
    <w:p w14:paraId="556D6C3A" w14:textId="65B93D5D" w:rsidR="00B519F6" w:rsidRDefault="00B519F6" w:rsidP="00B519F6">
      <w:pPr>
        <w:tabs>
          <w:tab w:val="left" w:pos="1896"/>
        </w:tabs>
        <w:spacing w:after="0"/>
        <w:rPr>
          <w:b/>
          <w:bCs/>
          <w:iCs/>
          <w:lang w:eastAsia="x-none"/>
        </w:rPr>
      </w:pPr>
    </w:p>
    <w:p w14:paraId="13A2599B" w14:textId="79AA7081" w:rsidR="001E176C" w:rsidRDefault="0000683A" w:rsidP="001E176C">
      <w:pPr>
        <w:pStyle w:val="Heading4"/>
        <w:rPr>
          <w:lang w:val="en-US"/>
        </w:rPr>
      </w:pPr>
      <w:r w:rsidRPr="0000683A">
        <w:rPr>
          <w:lang w:val="en-US"/>
        </w:rPr>
        <w:t>Beam switching</w:t>
      </w:r>
    </w:p>
    <w:p w14:paraId="0AA3E4CE" w14:textId="77777777" w:rsidR="00AF3E72" w:rsidRDefault="005A0ACF" w:rsidP="00AF3E72">
      <w:pPr>
        <w:pStyle w:val="BodyText"/>
        <w:rPr>
          <w:lang w:val="en-US" w:eastAsia="zh-CN"/>
        </w:rPr>
      </w:pPr>
      <w:r w:rsidRPr="005A0ACF">
        <w:rPr>
          <w:color w:val="000000" w:themeColor="text1"/>
          <w:lang w:val="en-US"/>
        </w:rPr>
        <w:t>RAN1 has sent a LS to RAN4 asking feedback on switching times between beams and UL-DL direction [</w:t>
      </w:r>
      <w:r w:rsidR="007D48FD">
        <w:rPr>
          <w:color w:val="000000" w:themeColor="text1"/>
          <w:lang w:val="en-US"/>
        </w:rPr>
        <w:t>6</w:t>
      </w:r>
      <w:r w:rsidRPr="005A0ACF">
        <w:rPr>
          <w:color w:val="000000" w:themeColor="text1"/>
          <w:lang w:val="en-US"/>
        </w:rPr>
        <w:t xml:space="preserve">]. </w:t>
      </w:r>
      <w:r w:rsidR="00AF3E72">
        <w:rPr>
          <w:lang w:val="en-US" w:eastAsia="zh-CN"/>
        </w:rPr>
        <w:t xml:space="preserve">In the LS RAN1 has asked what </w:t>
      </w:r>
      <w:proofErr w:type="gramStart"/>
      <w:r w:rsidR="00AF3E72">
        <w:rPr>
          <w:lang w:val="en-US" w:eastAsia="zh-CN"/>
        </w:rPr>
        <w:t>is the time</w:t>
      </w:r>
      <w:proofErr w:type="gramEnd"/>
      <w:r w:rsidR="00AF3E72">
        <w:rPr>
          <w:lang w:val="en-US" w:eastAsia="zh-CN"/>
        </w:rPr>
        <w:t xml:space="preserve"> required for </w:t>
      </w:r>
      <w:proofErr w:type="spellStart"/>
      <w:r w:rsidR="00AF3E72">
        <w:rPr>
          <w:lang w:val="en-US" w:eastAsia="zh-CN"/>
        </w:rPr>
        <w:t>gNBs</w:t>
      </w:r>
      <w:proofErr w:type="spellEnd"/>
      <w:r w:rsidR="00AF3E72">
        <w:rPr>
          <w:lang w:val="en-US" w:eastAsia="zh-CN"/>
        </w:rPr>
        <w:t xml:space="preserve"> and UEs operating in 52.6 GHz to 71 GHz to perform the following operations:</w:t>
      </w:r>
    </w:p>
    <w:p w14:paraId="4C8D6736"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Tx beams</w:t>
      </w:r>
    </w:p>
    <w:p w14:paraId="67BD5B2E"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from DL to UL</w:t>
      </w:r>
    </w:p>
    <w:p w14:paraId="08627D99" w14:textId="77777777" w:rsidR="00AF3E72" w:rsidRPr="000A7129" w:rsidRDefault="00AF3E72" w:rsidP="000A7129">
      <w:pPr>
        <w:pStyle w:val="BodyText"/>
        <w:numPr>
          <w:ilvl w:val="0"/>
          <w:numId w:val="39"/>
        </w:numPr>
        <w:ind w:left="714" w:hanging="357"/>
        <w:rPr>
          <w:lang w:val="en-US" w:eastAsia="zh-CN"/>
        </w:rPr>
      </w:pPr>
      <w:r w:rsidRPr="000A7129">
        <w:rPr>
          <w:lang w:val="en-US" w:eastAsia="zh-CN"/>
        </w:rPr>
        <w:t xml:space="preserve">Switching from UL to DL </w:t>
      </w:r>
    </w:p>
    <w:p w14:paraId="52918FF2" w14:textId="669C89C1" w:rsidR="00AF3E72" w:rsidRDefault="00AF3E72" w:rsidP="00AF3E72">
      <w:pPr>
        <w:pStyle w:val="BodyText"/>
        <w:rPr>
          <w:lang w:val="en-US"/>
        </w:rPr>
      </w:pPr>
      <w:r w:rsidRPr="00266FE1">
        <w:rPr>
          <w:lang w:val="en-US" w:eastAsia="zh-CN"/>
        </w:rPr>
        <w:t xml:space="preserve">Next, the switching </w:t>
      </w:r>
      <w:proofErr w:type="gramStart"/>
      <w:r w:rsidRPr="00266FE1">
        <w:rPr>
          <w:lang w:val="en-US" w:eastAsia="zh-CN"/>
        </w:rPr>
        <w:t>are</w:t>
      </w:r>
      <w:proofErr w:type="gramEnd"/>
      <w:r w:rsidRPr="00266FE1">
        <w:rPr>
          <w:lang w:val="en-US" w:eastAsia="zh-CN"/>
        </w:rPr>
        <w:t xml:space="preserve"> discussed</w:t>
      </w:r>
      <w:r w:rsidRPr="00266FE1">
        <w:rPr>
          <w:lang w:val="en-US"/>
        </w:rPr>
        <w:t xml:space="preserve"> individually.</w:t>
      </w:r>
    </w:p>
    <w:p w14:paraId="328CF63F" w14:textId="77777777" w:rsidR="00496F6A" w:rsidRPr="00266FE1" w:rsidRDefault="00496F6A" w:rsidP="00747433">
      <w:pPr>
        <w:pStyle w:val="Heading5"/>
        <w:numPr>
          <w:ilvl w:val="0"/>
          <w:numId w:val="0"/>
        </w:numPr>
        <w:ind w:left="1701" w:hanging="1701"/>
        <w:rPr>
          <w:lang w:val="en-US"/>
        </w:rPr>
      </w:pPr>
      <w:bookmarkStart w:id="4" w:name="_Hlk67567722"/>
      <w:r w:rsidRPr="00266FE1">
        <w:rPr>
          <w:lang w:val="en-US"/>
        </w:rPr>
        <w:t>gNB Tx and Rx beam switching time</w:t>
      </w:r>
    </w:p>
    <w:bookmarkEnd w:id="4"/>
    <w:p w14:paraId="64CFA4D4" w14:textId="3FEB3526" w:rsidR="00496F6A" w:rsidRDefault="00496F6A" w:rsidP="00496F6A">
      <w:pPr>
        <w:pStyle w:val="BodyText"/>
        <w:rPr>
          <w:lang w:val="en-US"/>
        </w:rPr>
      </w:pPr>
      <w:r>
        <w:rPr>
          <w:lang w:val="en-US"/>
        </w:rPr>
        <w:t>Analog beam switching was studied as part of the SI and conclusions from BS perspective were captured into TR 38.808 [</w:t>
      </w:r>
      <w:r w:rsidR="002A1882">
        <w:rPr>
          <w:lang w:val="en-US"/>
        </w:rPr>
        <w:t>7</w:t>
      </w:r>
      <w:r>
        <w:rPr>
          <w:lang w:val="en-US"/>
        </w:rPr>
        <w:t xml:space="preserve">], </w:t>
      </w:r>
      <w:proofErr w:type="gramStart"/>
      <w:r>
        <w:rPr>
          <w:lang w:val="en-US"/>
        </w:rPr>
        <w:t>taking into account</w:t>
      </w:r>
      <w:proofErr w:type="gramEnd"/>
      <w:r>
        <w:rPr>
          <w:lang w:val="en-US"/>
        </w:rPr>
        <w:t xml:space="preserve"> both the time for analog components to change state and timing inaccuracy of control </w:t>
      </w:r>
      <w:r>
        <w:rPr>
          <w:lang w:val="en-US"/>
        </w:rPr>
        <w:lastRenderedPageBreak/>
        <w:t>interface. The outcome was that to avoid performance degradations switching should take place in or less than 59 ns time window. There are phase shifter technologies which can react in approximately 10 ns, leaving sufficient time for the possible delays in the control interface and no explicit switching gap is needed between successive SSB blocks. Based on this analysis, it was further concluded that both 480 kHz and 960 kHz SCS are feasible from beam switching point of view.</w:t>
      </w:r>
    </w:p>
    <w:p w14:paraId="0CF33FF8" w14:textId="3D62C3A7" w:rsidR="00496F6A" w:rsidRDefault="00496F6A" w:rsidP="00496F6A">
      <w:pPr>
        <w:pStyle w:val="BodyText"/>
        <w:rPr>
          <w:lang w:val="en-US"/>
        </w:rPr>
      </w:pPr>
      <w:r>
        <w:rPr>
          <w:lang w:val="en-US"/>
        </w:rPr>
        <w:t>While the study conclusions do not provide a single agreed value for Tx and Rx beam switching times, they indicate the maximum time, i.e. minimum performance that is achievable. Therefore</w:t>
      </w:r>
      <w:r w:rsidR="002A1882">
        <w:rPr>
          <w:lang w:val="en-US"/>
        </w:rPr>
        <w:t>,</w:t>
      </w:r>
      <w:r>
        <w:rPr>
          <w:lang w:val="en-US"/>
        </w:rPr>
        <w:t xml:space="preserve"> the following reply to RAN1 is suggested for gNB Tx and Rx beam switching times</w:t>
      </w:r>
    </w:p>
    <w:p w14:paraId="6AE9D699" w14:textId="77777777" w:rsidR="00496F6A" w:rsidRDefault="00496F6A" w:rsidP="00496F6A">
      <w:pPr>
        <w:pStyle w:val="BodyText"/>
        <w:ind w:left="567"/>
        <w:rPr>
          <w:lang w:val="en-US"/>
        </w:rPr>
      </w:pPr>
      <w:r>
        <w:rPr>
          <w:lang w:val="en-US"/>
        </w:rPr>
        <w:tab/>
        <w:t>RAN4 has studied Tx and Rx beam switching times and concluded that beam switching can take place in less than 80% of the cyclic prefix length of 960 kHz SCS, i.e. less than 59 ns, which according to RAN4 analysis prevents degradations to system performance.</w:t>
      </w:r>
    </w:p>
    <w:p w14:paraId="27DA8CB1" w14:textId="6AAF7864" w:rsidR="00496F6A" w:rsidRPr="00B02C24" w:rsidRDefault="00496F6A" w:rsidP="00496F6A">
      <w:pPr>
        <w:pStyle w:val="BodyText"/>
        <w:rPr>
          <w:b/>
          <w:bCs/>
          <w:lang w:val="en-US"/>
        </w:rPr>
      </w:pPr>
      <w:r w:rsidRPr="0829B300">
        <w:rPr>
          <w:b/>
          <w:bCs/>
          <w:lang w:val="en-US"/>
        </w:rPr>
        <w:t xml:space="preserve">Proposal </w:t>
      </w:r>
      <w:r w:rsidR="001566C4">
        <w:rPr>
          <w:b/>
          <w:bCs/>
          <w:lang w:val="en-US"/>
        </w:rPr>
        <w:t>8</w:t>
      </w:r>
      <w:r w:rsidRPr="0829B300">
        <w:rPr>
          <w:b/>
          <w:bCs/>
          <w:lang w:val="en-US"/>
        </w:rPr>
        <w:t>: RAN4 to reply to RAN1 aligned with study item conclusions that gNB beam switching can take place in less than 59 us.</w:t>
      </w:r>
    </w:p>
    <w:p w14:paraId="0654255E" w14:textId="77777777" w:rsidR="00496F6A" w:rsidRDefault="00496F6A" w:rsidP="00747433">
      <w:pPr>
        <w:pStyle w:val="Heading5"/>
        <w:numPr>
          <w:ilvl w:val="0"/>
          <w:numId w:val="0"/>
        </w:numPr>
        <w:ind w:left="1701" w:hanging="1701"/>
        <w:rPr>
          <w:lang w:val="en-US"/>
        </w:rPr>
      </w:pPr>
      <w:r w:rsidRPr="0829B300">
        <w:rPr>
          <w:lang w:val="en-US"/>
        </w:rPr>
        <w:t xml:space="preserve">UE beam switching </w:t>
      </w:r>
    </w:p>
    <w:p w14:paraId="652A2A10" w14:textId="77777777" w:rsidR="00496F6A" w:rsidRPr="00496F6A" w:rsidRDefault="00496F6A" w:rsidP="00496F6A">
      <w:pPr>
        <w:pStyle w:val="BodyText"/>
        <w:rPr>
          <w:lang w:val="en-US"/>
        </w:rPr>
      </w:pPr>
      <w:r w:rsidRPr="00496F6A">
        <w:rPr>
          <w:lang w:val="en-US"/>
        </w:rPr>
        <w:t xml:space="preserve">When it comes to switching times inside a UE, the device dimensions are noticeably smaller than for base stations. This provides opportunities lower inaccuracies than in </w:t>
      </w:r>
      <w:proofErr w:type="spellStart"/>
      <w:r w:rsidRPr="00496F6A">
        <w:rPr>
          <w:lang w:val="en-US"/>
        </w:rPr>
        <w:t>gNBs</w:t>
      </w:r>
      <w:proofErr w:type="spellEnd"/>
      <w:r w:rsidRPr="00496F6A">
        <w:rPr>
          <w:lang w:val="en-US"/>
        </w:rPr>
        <w:t xml:space="preserve">. Additionally, UE transmission power levels are significantly lower than for </w:t>
      </w:r>
      <w:proofErr w:type="spellStart"/>
      <w:r w:rsidRPr="00496F6A">
        <w:rPr>
          <w:lang w:val="en-US"/>
        </w:rPr>
        <w:t>gNBs</w:t>
      </w:r>
      <w:proofErr w:type="spellEnd"/>
      <w:r w:rsidRPr="00496F6A">
        <w:rPr>
          <w:lang w:val="en-US"/>
        </w:rPr>
        <w:t xml:space="preserve">, resulting in easier handling of transient events during the beam switch. On the other hand, UE component selection may need to consider more cost and efficiency considerations compared to </w:t>
      </w:r>
      <w:proofErr w:type="spellStart"/>
      <w:r w:rsidRPr="00496F6A">
        <w:rPr>
          <w:lang w:val="en-US"/>
        </w:rPr>
        <w:t>gNBs</w:t>
      </w:r>
      <w:proofErr w:type="spellEnd"/>
      <w:r w:rsidRPr="00496F6A">
        <w:rPr>
          <w:lang w:val="en-US"/>
        </w:rPr>
        <w:t xml:space="preserve">. Overall, we see that switching times in a UE should not </w:t>
      </w:r>
      <w:proofErr w:type="gramStart"/>
      <w:r w:rsidRPr="00496F6A">
        <w:rPr>
          <w:lang w:val="en-US"/>
        </w:rPr>
        <w:t>be considered to be</w:t>
      </w:r>
      <w:proofErr w:type="gramEnd"/>
      <w:r w:rsidRPr="00496F6A">
        <w:rPr>
          <w:lang w:val="en-US"/>
        </w:rPr>
        <w:t xml:space="preserve"> higher than at gNB.</w:t>
      </w:r>
    </w:p>
    <w:p w14:paraId="1D9C9A61" w14:textId="14B24D1C" w:rsidR="00496F6A" w:rsidRPr="001566C4" w:rsidRDefault="00496F6A" w:rsidP="00496F6A">
      <w:pPr>
        <w:pStyle w:val="BodyText"/>
        <w:rPr>
          <w:b/>
          <w:bCs/>
          <w:lang w:val="en-US"/>
        </w:rPr>
      </w:pPr>
      <w:r w:rsidRPr="001566C4">
        <w:rPr>
          <w:b/>
          <w:bCs/>
          <w:lang w:val="en-US"/>
        </w:rPr>
        <w:t xml:space="preserve">Observation </w:t>
      </w:r>
      <w:r w:rsidR="001566C4">
        <w:rPr>
          <w:b/>
          <w:bCs/>
          <w:lang w:val="en-US"/>
        </w:rPr>
        <w:t>5:</w:t>
      </w:r>
      <w:r w:rsidRPr="001566C4">
        <w:rPr>
          <w:b/>
          <w:bCs/>
          <w:lang w:val="en-US"/>
        </w:rPr>
        <w:t xml:space="preserve"> UE beam switching times should not be longer than gNB beam switching times</w:t>
      </w:r>
    </w:p>
    <w:p w14:paraId="46CC23EA" w14:textId="77777777" w:rsidR="00496F6A" w:rsidRDefault="00496F6A" w:rsidP="00747433">
      <w:pPr>
        <w:pStyle w:val="Heading5"/>
        <w:numPr>
          <w:ilvl w:val="0"/>
          <w:numId w:val="0"/>
        </w:numPr>
        <w:ind w:left="1701" w:hanging="1701"/>
        <w:rPr>
          <w:lang w:val="en-US"/>
        </w:rPr>
      </w:pPr>
      <w:r>
        <w:rPr>
          <w:lang w:val="en-US"/>
        </w:rPr>
        <w:t>UL-to-DL and DL-to-UL</w:t>
      </w:r>
      <w:r w:rsidRPr="00266FE1">
        <w:rPr>
          <w:lang w:val="en-US"/>
        </w:rPr>
        <w:t xml:space="preserve"> switching time</w:t>
      </w:r>
    </w:p>
    <w:p w14:paraId="208A9EC7" w14:textId="77777777" w:rsidR="00496F6A" w:rsidRDefault="00496F6A" w:rsidP="00496F6A">
      <w:pPr>
        <w:pStyle w:val="BodyText"/>
        <w:rPr>
          <w:lang w:val="en-US"/>
        </w:rPr>
      </w:pPr>
      <w:r>
        <w:rPr>
          <w:lang w:val="en-US"/>
        </w:rPr>
        <w:t xml:space="preserve">When looking at TDD frame structures, special slots with guard period takes place only for DL-to-UL transition, to allow time for signal propagation from BS-to-UE and give time for UE to prepare to transmit. However, no extra gap is reserved for UL-to-DL transition, i.e. gNB is expected to transmit immediately after it receives signal from the UE. Therefore, in current FR2 the maximum gNB turnaround time can be </w:t>
      </w:r>
      <w:proofErr w:type="gramStart"/>
      <w:r>
        <w:rPr>
          <w:lang w:val="en-US"/>
        </w:rPr>
        <w:t>as long as</w:t>
      </w:r>
      <w:proofErr w:type="gramEnd"/>
      <w:r>
        <w:rPr>
          <w:lang w:val="en-US"/>
        </w:rPr>
        <w:t xml:space="preserve"> the allowed transient period of 3us. </w:t>
      </w:r>
    </w:p>
    <w:p w14:paraId="00F9F8CF" w14:textId="4908692A" w:rsidR="00496F6A" w:rsidRDefault="00496F6A" w:rsidP="00496F6A">
      <w:pPr>
        <w:pStyle w:val="BodyText"/>
        <w:rPr>
          <w:lang w:val="en-US"/>
        </w:rPr>
      </w:pPr>
      <w:r>
        <w:rPr>
          <w:lang w:val="en-US"/>
        </w:rPr>
        <w:t>In [</w:t>
      </w:r>
      <w:r w:rsidR="00E674C5">
        <w:rPr>
          <w:lang w:val="en-US"/>
        </w:rPr>
        <w:t>8</w:t>
      </w:r>
      <w:r>
        <w:rPr>
          <w:lang w:val="en-US"/>
        </w:rPr>
        <w:t>] RAN4 has responded to RAN1 that UE transitions time in FR2 is 7us, which is 2us longer than the allowed UE transient period. Even if the overhead compared to transient time would not change, there is potential to shorten to transition time given that transient period gets shorter. Part of the study item outcome in [</w:t>
      </w:r>
      <w:r w:rsidR="00E674C5">
        <w:rPr>
          <w:lang w:val="en-US"/>
        </w:rPr>
        <w:t>7</w:t>
      </w:r>
      <w:r>
        <w:rPr>
          <w:lang w:val="en-US"/>
        </w:rPr>
        <w:t>] it was documented that improvement on transient times will be evaluated with final agreement taking place in the WI. Therefore, it is premature to response to RAN1 before agreement on transient period has been reached.</w:t>
      </w:r>
    </w:p>
    <w:p w14:paraId="0E7402F6" w14:textId="5232B64B" w:rsidR="001E176C" w:rsidRPr="00E96EDC" w:rsidRDefault="00496F6A" w:rsidP="00E96EDC">
      <w:pPr>
        <w:pStyle w:val="BodyText"/>
        <w:rPr>
          <w:b/>
          <w:bCs/>
          <w:lang w:val="en-US"/>
        </w:rPr>
      </w:pPr>
      <w:r w:rsidRPr="0829B300">
        <w:rPr>
          <w:b/>
          <w:bCs/>
          <w:lang w:val="en-US"/>
        </w:rPr>
        <w:t xml:space="preserve">Proposal </w:t>
      </w:r>
      <w:r w:rsidR="00E96EDC">
        <w:rPr>
          <w:b/>
          <w:bCs/>
          <w:lang w:val="en-US"/>
        </w:rPr>
        <w:t>9</w:t>
      </w:r>
      <w:r w:rsidRPr="0829B300">
        <w:rPr>
          <w:b/>
          <w:bCs/>
          <w:lang w:val="en-US"/>
        </w:rPr>
        <w:t xml:space="preserve">: Further discussion on transient periods in &gt;52.6 GHz is needed before responding to RAN1 on UL-to-DL and DL-to-UL </w:t>
      </w:r>
      <w:r w:rsidR="00E96EDC" w:rsidRPr="0829B300">
        <w:rPr>
          <w:b/>
          <w:bCs/>
          <w:lang w:val="en-US"/>
        </w:rPr>
        <w:t>switching</w:t>
      </w:r>
      <w:r w:rsidRPr="0829B300">
        <w:rPr>
          <w:b/>
          <w:bCs/>
          <w:lang w:val="en-US"/>
        </w:rPr>
        <w:t xml:space="preserve"> times</w:t>
      </w:r>
      <w:r w:rsidR="005A0ACF" w:rsidRPr="005A0ACF">
        <w:rPr>
          <w:color w:val="000000" w:themeColor="text1"/>
          <w:lang w:val="en-US"/>
        </w:rPr>
        <w:t>.</w:t>
      </w:r>
    </w:p>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5B1B4208" w14:textId="77777777" w:rsidR="008E4196" w:rsidRDefault="008E4196" w:rsidP="008E419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3FC10DF0" w14:textId="77777777" w:rsidR="008E4196" w:rsidRDefault="008E4196" w:rsidP="008E4196">
      <w:pPr>
        <w:rPr>
          <w:b/>
          <w:bCs/>
        </w:rPr>
      </w:pPr>
      <w:r>
        <w:rPr>
          <w:b/>
          <w:bCs/>
        </w:rPr>
        <w:t>Proposal 1: RAN4 strives to keep UE implementation loss budget reasonably small for NR operation above 52.6 GHz to ensure good UL link budget.</w:t>
      </w:r>
    </w:p>
    <w:p w14:paraId="3CA2C5EF" w14:textId="77777777" w:rsidR="008E4196" w:rsidRDefault="008E4196" w:rsidP="008E4196">
      <w:pPr>
        <w:rPr>
          <w:b/>
          <w:bCs/>
        </w:rPr>
      </w:pPr>
      <w:r>
        <w:rPr>
          <w:b/>
          <w:bCs/>
        </w:rPr>
        <w:t xml:space="preserve">Proposal 2: For an unlicensed </w:t>
      </w:r>
      <w:r w:rsidRPr="004F0868">
        <w:rPr>
          <w:b/>
          <w:bCs/>
        </w:rPr>
        <w:t xml:space="preserve">NR band </w:t>
      </w:r>
      <w:r>
        <w:rPr>
          <w:b/>
          <w:bCs/>
        </w:rPr>
        <w:t>adopt the power limits given in Table 2 as a baseline</w:t>
      </w:r>
    </w:p>
    <w:p w14:paraId="781CB11D" w14:textId="77777777" w:rsidR="008E4196" w:rsidRDefault="008E4196" w:rsidP="008E4196">
      <w:pPr>
        <w:rPr>
          <w:b/>
          <w:bCs/>
        </w:rPr>
      </w:pPr>
      <w:r>
        <w:rPr>
          <w:b/>
          <w:bCs/>
        </w:rPr>
        <w:t xml:space="preserve">Proposal 3: Further discuss </w:t>
      </w:r>
      <w:r w:rsidRPr="00D273A8">
        <w:rPr>
          <w:b/>
          <w:bCs/>
        </w:rPr>
        <w:t>which, if any, of the existing power classes in 38.101-2 can be reused for an unlicensed NR band</w:t>
      </w:r>
      <w:r>
        <w:rPr>
          <w:b/>
          <w:bCs/>
        </w:rPr>
        <w:t xml:space="preserve"> or a new power class is needed.</w:t>
      </w:r>
      <w:r w:rsidRPr="625F5BD8">
        <w:rPr>
          <w:b/>
          <w:bCs/>
        </w:rPr>
        <w:t xml:space="preserve"> As basis for power class definition, it is beneficial to discuss what are representative antenna array sizes in this frequency range.</w:t>
      </w:r>
    </w:p>
    <w:p w14:paraId="112FC499" w14:textId="77777777" w:rsidR="008E4196" w:rsidRPr="00893293" w:rsidRDefault="008E4196" w:rsidP="008E4196">
      <w:pPr>
        <w:rPr>
          <w:b/>
          <w:bCs/>
        </w:rPr>
      </w:pPr>
      <w:r w:rsidRPr="00893293">
        <w:rPr>
          <w:b/>
          <w:bCs/>
        </w:rPr>
        <w:t xml:space="preserve">Proposal 4: Postpone discussing RF </w:t>
      </w:r>
      <w:r>
        <w:rPr>
          <w:b/>
          <w:bCs/>
        </w:rPr>
        <w:t xml:space="preserve">output </w:t>
      </w:r>
      <w:r w:rsidRPr="00893293">
        <w:rPr>
          <w:b/>
          <w:bCs/>
        </w:rPr>
        <w:t>limits for a licensed band until spectrum and regulations becomes available.</w:t>
      </w:r>
    </w:p>
    <w:p w14:paraId="441DC110" w14:textId="77777777" w:rsidR="008E4196" w:rsidRPr="003B4733" w:rsidDel="001A529A" w:rsidRDefault="008E4196" w:rsidP="008E4196">
      <w:pPr>
        <w:rPr>
          <w:color w:val="000000" w:themeColor="text1"/>
          <w:lang w:val="en-US"/>
        </w:rPr>
      </w:pPr>
      <w:r w:rsidRPr="003B4733">
        <w:rPr>
          <w:b/>
          <w:bCs/>
          <w:color w:val="000000" w:themeColor="text1"/>
        </w:rPr>
        <w:lastRenderedPageBreak/>
        <w:t>Observation 2: Co-existence study for this frequency range has already been documented in TR 38.803</w:t>
      </w:r>
    </w:p>
    <w:p w14:paraId="44845263" w14:textId="77777777" w:rsidR="008E4196" w:rsidRDefault="008E4196" w:rsidP="008E4196">
      <w:pPr>
        <w:rPr>
          <w:b/>
          <w:bCs/>
          <w:color w:val="000000" w:themeColor="text1"/>
        </w:rPr>
      </w:pPr>
      <w:r w:rsidRPr="7FEEF213">
        <w:rPr>
          <w:b/>
          <w:bCs/>
          <w:color w:val="000000" w:themeColor="text1"/>
        </w:rPr>
        <w:t xml:space="preserve">Proposal </w:t>
      </w:r>
      <w:r>
        <w:rPr>
          <w:b/>
          <w:bCs/>
          <w:color w:val="000000" w:themeColor="text1"/>
        </w:rPr>
        <w:t>5</w:t>
      </w:r>
      <w:r w:rsidRPr="7FEEF213">
        <w:rPr>
          <w:b/>
          <w:bCs/>
          <w:color w:val="000000" w:themeColor="text1"/>
        </w:rPr>
        <w:t>: Extract the ACLR and ACS requirements from TR 38.803</w:t>
      </w:r>
      <w:r>
        <w:rPr>
          <w:b/>
          <w:bCs/>
          <w:color w:val="000000" w:themeColor="text1"/>
        </w:rPr>
        <w:t xml:space="preserve"> for licensed operation</w:t>
      </w:r>
    </w:p>
    <w:p w14:paraId="55F7E27C" w14:textId="77777777" w:rsidR="008E4196" w:rsidRDefault="008E4196" w:rsidP="008E4196">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21B8916F" w14:textId="77777777" w:rsidR="008E4196" w:rsidRDefault="008E4196" w:rsidP="008E4196">
      <w:pPr>
        <w:tabs>
          <w:tab w:val="left" w:pos="1896"/>
        </w:tabs>
        <w:spacing w:after="0"/>
        <w:rPr>
          <w:b/>
          <w:bCs/>
          <w:iCs/>
          <w:lang w:eastAsia="x-none"/>
        </w:rPr>
      </w:pPr>
    </w:p>
    <w:p w14:paraId="40B00666" w14:textId="77777777" w:rsidR="008E4196" w:rsidRDefault="008E4196" w:rsidP="008E4196">
      <w:pPr>
        <w:tabs>
          <w:tab w:val="left" w:pos="1896"/>
        </w:tabs>
        <w:spacing w:after="0"/>
        <w:rPr>
          <w:b/>
          <w:bCs/>
          <w:iCs/>
          <w:lang w:eastAsia="x-none"/>
        </w:rPr>
      </w:pPr>
      <w:r>
        <w:rPr>
          <w:b/>
          <w:bCs/>
          <w:iCs/>
          <w:lang w:eastAsia="x-none"/>
        </w:rPr>
        <w:t>Proposal 7: Consider specifying wider measurement bandwidth than 1 MHz at least for 960 kHz SCS in case regulatory requirements allow it.</w:t>
      </w:r>
    </w:p>
    <w:p w14:paraId="776F74C5" w14:textId="77777777" w:rsidR="008E4196" w:rsidRDefault="008E4196" w:rsidP="008E4196">
      <w:pPr>
        <w:tabs>
          <w:tab w:val="left" w:pos="1896"/>
        </w:tabs>
        <w:spacing w:after="0"/>
        <w:rPr>
          <w:b/>
          <w:bCs/>
          <w:iCs/>
          <w:lang w:eastAsia="x-none"/>
        </w:rPr>
      </w:pPr>
    </w:p>
    <w:p w14:paraId="573EF395" w14:textId="77777777" w:rsidR="008E4196" w:rsidRPr="00B02C24" w:rsidRDefault="008E4196" w:rsidP="008E4196">
      <w:pPr>
        <w:pStyle w:val="BodyText"/>
        <w:rPr>
          <w:b/>
          <w:bCs/>
          <w:lang w:val="en-US"/>
        </w:rPr>
      </w:pPr>
      <w:r w:rsidRPr="0829B300">
        <w:rPr>
          <w:b/>
          <w:bCs/>
          <w:lang w:val="en-US"/>
        </w:rPr>
        <w:t xml:space="preserve">Proposal </w:t>
      </w:r>
      <w:r>
        <w:rPr>
          <w:b/>
          <w:bCs/>
          <w:lang w:val="en-US"/>
        </w:rPr>
        <w:t>8</w:t>
      </w:r>
      <w:r w:rsidRPr="0829B300">
        <w:rPr>
          <w:b/>
          <w:bCs/>
          <w:lang w:val="en-US"/>
        </w:rPr>
        <w:t>: RAN4 to reply to RAN1 aligned with study item conclusions that gNB beam switching can take place in less than 59 us.</w:t>
      </w:r>
    </w:p>
    <w:p w14:paraId="63AEE5D4" w14:textId="77777777" w:rsidR="008E4196" w:rsidRPr="001566C4" w:rsidRDefault="008E4196" w:rsidP="008E4196">
      <w:pPr>
        <w:pStyle w:val="BodyText"/>
        <w:rPr>
          <w:b/>
          <w:bCs/>
          <w:lang w:val="en-US"/>
        </w:rPr>
      </w:pPr>
      <w:r w:rsidRPr="001566C4">
        <w:rPr>
          <w:b/>
          <w:bCs/>
          <w:lang w:val="en-US"/>
        </w:rPr>
        <w:t xml:space="preserve">Observation </w:t>
      </w:r>
      <w:r>
        <w:rPr>
          <w:b/>
          <w:bCs/>
          <w:lang w:val="en-US"/>
        </w:rPr>
        <w:t>5:</w:t>
      </w:r>
      <w:r w:rsidRPr="001566C4">
        <w:rPr>
          <w:b/>
          <w:bCs/>
          <w:lang w:val="en-US"/>
        </w:rPr>
        <w:t xml:space="preserve"> UE beam switching times should not be longer than gNB beam switching times</w:t>
      </w:r>
    </w:p>
    <w:p w14:paraId="5956696D" w14:textId="77777777" w:rsidR="008E4196" w:rsidRPr="00E96EDC" w:rsidRDefault="008E4196" w:rsidP="008E4196">
      <w:pPr>
        <w:pStyle w:val="BodyText"/>
        <w:rPr>
          <w:b/>
          <w:bCs/>
          <w:lang w:val="en-US"/>
        </w:rPr>
      </w:pPr>
      <w:r w:rsidRPr="0829B300">
        <w:rPr>
          <w:b/>
          <w:bCs/>
          <w:lang w:val="en-US"/>
        </w:rPr>
        <w:t xml:space="preserve">Proposal </w:t>
      </w:r>
      <w:r>
        <w:rPr>
          <w:b/>
          <w:bCs/>
          <w:lang w:val="en-US"/>
        </w:rPr>
        <w:t>9</w:t>
      </w:r>
      <w:r w:rsidRPr="0829B300">
        <w:rPr>
          <w:b/>
          <w:bCs/>
          <w:lang w:val="en-US"/>
        </w:rPr>
        <w:t>: Further discussion on transient periods in &gt;52.6 GHz is needed before responding to RAN1 on UL-to-DL and DL-to-UL switching times</w:t>
      </w:r>
      <w:r w:rsidRPr="005A0ACF">
        <w:rPr>
          <w:color w:val="000000" w:themeColor="text1"/>
          <w:lang w:val="en-US"/>
        </w:rPr>
        <w:t>.</w:t>
      </w:r>
    </w:p>
    <w:p w14:paraId="3FD302EE" w14:textId="77777777" w:rsidR="00904C26" w:rsidRDefault="00904C26" w:rsidP="00904C26">
      <w:pPr>
        <w:pStyle w:val="Heading1"/>
        <w:ind w:left="0" w:firstLine="0"/>
        <w:rPr>
          <w:lang w:val="en-US"/>
        </w:rPr>
      </w:pPr>
      <w:r w:rsidRPr="00A51BCB">
        <w:rPr>
          <w:lang w:val="en-US"/>
        </w:rPr>
        <w:t>References</w:t>
      </w:r>
    </w:p>
    <w:p w14:paraId="17650D8C" w14:textId="16DB3B87" w:rsidR="00CF522F" w:rsidRDefault="00CF522F" w:rsidP="00286502">
      <w:pPr>
        <w:pStyle w:val="ListParagraph"/>
        <w:numPr>
          <w:ilvl w:val="0"/>
          <w:numId w:val="14"/>
        </w:numPr>
        <w:overflowPunct/>
        <w:autoSpaceDE/>
        <w:autoSpaceDN/>
        <w:adjustRightInd/>
        <w:spacing w:after="0" w:line="259" w:lineRule="auto"/>
        <w:textAlignment w:val="auto"/>
        <w:rPr>
          <w:lang w:val="en-US"/>
        </w:rPr>
      </w:pPr>
      <w:bookmarkStart w:id="5" w:name="_Ref31097951"/>
      <w:r w:rsidRPr="009F2878">
        <w:rPr>
          <w:lang w:val="en-US" w:eastAsia="zh-CN"/>
        </w:rPr>
        <w:t>RP‑210</w:t>
      </w:r>
      <w:r w:rsidR="009F2878" w:rsidRPr="009F2878">
        <w:rPr>
          <w:lang w:val="en-US" w:eastAsia="zh-CN"/>
        </w:rPr>
        <w:t>8</w:t>
      </w:r>
      <w:r w:rsidRPr="009F2878">
        <w:rPr>
          <w:lang w:val="en-US" w:eastAsia="zh-CN"/>
        </w:rPr>
        <w:t>6</w:t>
      </w:r>
      <w:r w:rsidR="009F2878" w:rsidRPr="009F2878">
        <w:rPr>
          <w:lang w:val="en-US" w:eastAsia="zh-CN"/>
        </w:rPr>
        <w:t>2</w:t>
      </w:r>
      <w:r w:rsidRPr="00D24498">
        <w:rPr>
          <w:lang w:val="en-US" w:eastAsia="zh-CN"/>
        </w:rPr>
        <w:t>, Revised WID on Extending current NR operation to 71GHz</w:t>
      </w:r>
      <w:r w:rsidRPr="00B53A40">
        <w:rPr>
          <w:lang w:val="en-US"/>
        </w:rPr>
        <w:t xml:space="preserve"> </w:t>
      </w:r>
    </w:p>
    <w:p w14:paraId="1EDF619D" w14:textId="6F43CEE5"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5"/>
    </w:p>
    <w:p w14:paraId="16F902DC" w14:textId="6CC5EF2C" w:rsidR="00050114" w:rsidRDefault="00050114" w:rsidP="00050114">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00755443" w14:textId="1A37A5F3" w:rsidR="006B6DB1" w:rsidRPr="00AE643D" w:rsidRDefault="00736160" w:rsidP="00050114">
      <w:pPr>
        <w:pStyle w:val="ListParagraph"/>
        <w:numPr>
          <w:ilvl w:val="0"/>
          <w:numId w:val="14"/>
        </w:numPr>
        <w:overflowPunct/>
        <w:autoSpaceDE/>
        <w:autoSpaceDN/>
        <w:adjustRightInd/>
        <w:spacing w:after="0" w:line="259" w:lineRule="auto"/>
        <w:textAlignment w:val="auto"/>
        <w:rPr>
          <w:lang w:val="en-US"/>
        </w:rPr>
      </w:pPr>
      <w:r w:rsidRPr="00736160">
        <w:rPr>
          <w:lang w:val="en-US"/>
        </w:rPr>
        <w:t>draft EN 303 753 v0.0.3, ETSI BRAN</w:t>
      </w:r>
    </w:p>
    <w:p w14:paraId="21877AEB" w14:textId="3708B401" w:rsidR="00050114" w:rsidRDefault="00050114" w:rsidP="00E03F2D">
      <w:pPr>
        <w:pStyle w:val="ListParagraph"/>
        <w:numPr>
          <w:ilvl w:val="0"/>
          <w:numId w:val="14"/>
        </w:numPr>
        <w:overflowPunct/>
        <w:autoSpaceDE/>
        <w:autoSpaceDN/>
        <w:adjustRightInd/>
        <w:spacing w:after="0" w:line="259" w:lineRule="auto"/>
        <w:textAlignment w:val="auto"/>
        <w:rPr>
          <w:lang w:val="en-US"/>
        </w:rPr>
      </w:pPr>
      <w:r w:rsidRPr="7FEEF213">
        <w:rPr>
          <w:lang w:val="en-US"/>
        </w:rPr>
        <w:t>R4-2016988, “</w:t>
      </w:r>
      <w:r w:rsidRPr="7FEEF213">
        <w:rPr>
          <w:i/>
          <w:iCs/>
          <w:lang w:val="en-US"/>
        </w:rPr>
        <w:t>WF on FS 52.6 – 71 GHz Part 2 [141]</w:t>
      </w:r>
      <w:r w:rsidRPr="7FEEF213">
        <w:rPr>
          <w:lang w:val="en-US"/>
        </w:rPr>
        <w:t>”, Intel</w:t>
      </w:r>
    </w:p>
    <w:p w14:paraId="63EE4ABA" w14:textId="63BE67A2" w:rsidR="00B00621" w:rsidRDefault="00F05D05" w:rsidP="00E03F2D">
      <w:pPr>
        <w:pStyle w:val="ListParagraph"/>
        <w:numPr>
          <w:ilvl w:val="0"/>
          <w:numId w:val="14"/>
        </w:numPr>
        <w:overflowPunct/>
        <w:autoSpaceDE/>
        <w:autoSpaceDN/>
        <w:adjustRightInd/>
        <w:spacing w:after="0" w:line="259" w:lineRule="auto"/>
        <w:textAlignment w:val="auto"/>
        <w:rPr>
          <w:lang w:val="en-US"/>
        </w:rPr>
      </w:pPr>
      <w:r w:rsidRPr="00F05D05">
        <w:rPr>
          <w:lang w:val="en-US"/>
        </w:rPr>
        <w:t>R4-2104451</w:t>
      </w:r>
      <w:r w:rsidR="00B00621" w:rsidRPr="00B00621">
        <w:rPr>
          <w:lang w:val="en-US"/>
        </w:rPr>
        <w:t>, “LS on beam switching gap for 60 GHz band”, RAN1</w:t>
      </w:r>
      <w:r>
        <w:rPr>
          <w:lang w:val="en-US"/>
        </w:rPr>
        <w:t xml:space="preserve"> (</w:t>
      </w:r>
      <w:r w:rsidRPr="00B00621">
        <w:rPr>
          <w:lang w:val="en-US"/>
        </w:rPr>
        <w:t>R1-2102202</w:t>
      </w:r>
      <w:r>
        <w:rPr>
          <w:lang w:val="en-US"/>
        </w:rPr>
        <w:t>)</w:t>
      </w:r>
    </w:p>
    <w:p w14:paraId="3EAC80E1" w14:textId="77777777" w:rsidR="002A1882" w:rsidRPr="002A1882" w:rsidRDefault="002A1882" w:rsidP="002A1882">
      <w:pPr>
        <w:pStyle w:val="ListParagraph"/>
        <w:numPr>
          <w:ilvl w:val="0"/>
          <w:numId w:val="14"/>
        </w:numPr>
        <w:rPr>
          <w:lang w:val="en-US" w:eastAsia="ja-JP"/>
        </w:rPr>
      </w:pPr>
      <w:r w:rsidRPr="002A1882">
        <w:rPr>
          <w:lang w:val="en-US" w:eastAsia="ja-JP"/>
        </w:rPr>
        <w:t>3GPP TR 38.808 v2.0.0, Study on supporting NR from 52.6 GHz to 71 GHz (Release 17)</w:t>
      </w:r>
    </w:p>
    <w:p w14:paraId="1A9A92E3" w14:textId="2E94F8AC" w:rsidR="002A1882" w:rsidRPr="00E03F2D" w:rsidRDefault="00E674C5" w:rsidP="00E03F2D">
      <w:pPr>
        <w:pStyle w:val="ListParagraph"/>
        <w:numPr>
          <w:ilvl w:val="0"/>
          <w:numId w:val="14"/>
        </w:numPr>
        <w:overflowPunct/>
        <w:autoSpaceDE/>
        <w:autoSpaceDN/>
        <w:adjustRightInd/>
        <w:spacing w:after="0" w:line="259" w:lineRule="auto"/>
        <w:textAlignment w:val="auto"/>
        <w:rPr>
          <w:lang w:val="en-US"/>
        </w:rPr>
      </w:pPr>
      <w:r w:rsidRPr="00E674C5">
        <w:rPr>
          <w:lang w:val="en-US"/>
        </w:rPr>
        <w:t>R4-1805766, “LS on UE Rx/Tx transition times”, RAN4</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6313F" w14:textId="77777777" w:rsidR="00890649" w:rsidRDefault="00890649">
      <w:r>
        <w:separator/>
      </w:r>
    </w:p>
    <w:p w14:paraId="72DC353F" w14:textId="77777777" w:rsidR="00890649" w:rsidRDefault="00890649"/>
  </w:endnote>
  <w:endnote w:type="continuationSeparator" w:id="0">
    <w:p w14:paraId="104F58C8" w14:textId="77777777" w:rsidR="00890649" w:rsidRDefault="00890649">
      <w:r>
        <w:continuationSeparator/>
      </w:r>
    </w:p>
    <w:p w14:paraId="4F0DBBE2" w14:textId="77777777" w:rsidR="00890649" w:rsidRDefault="00890649"/>
  </w:endnote>
  <w:endnote w:type="continuationNotice" w:id="1">
    <w:p w14:paraId="2646A4E9" w14:textId="77777777" w:rsidR="00370646" w:rsidRDefault="00370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5CBB5" w14:textId="77777777" w:rsidR="00890649" w:rsidRDefault="00890649">
      <w:r>
        <w:separator/>
      </w:r>
    </w:p>
    <w:p w14:paraId="5FE49BF8" w14:textId="77777777" w:rsidR="00890649" w:rsidRDefault="00890649"/>
  </w:footnote>
  <w:footnote w:type="continuationSeparator" w:id="0">
    <w:p w14:paraId="2107B1FD" w14:textId="77777777" w:rsidR="00890649" w:rsidRDefault="00890649">
      <w:r>
        <w:continuationSeparator/>
      </w:r>
    </w:p>
    <w:p w14:paraId="3F43E91D" w14:textId="77777777" w:rsidR="00890649" w:rsidRDefault="00890649"/>
  </w:footnote>
  <w:footnote w:type="continuationNotice" w:id="1">
    <w:p w14:paraId="2262A377" w14:textId="77777777" w:rsidR="00370646" w:rsidRDefault="00370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1"/>
  </w:num>
  <w:num w:numId="3">
    <w:abstractNumId w:val="36"/>
  </w:num>
  <w:num w:numId="4">
    <w:abstractNumId w:val="9"/>
  </w:num>
  <w:num w:numId="5">
    <w:abstractNumId w:val="2"/>
  </w:num>
  <w:num w:numId="6">
    <w:abstractNumId w:val="35"/>
  </w:num>
  <w:num w:numId="7">
    <w:abstractNumId w:val="28"/>
  </w:num>
  <w:num w:numId="8">
    <w:abstractNumId w:val="34"/>
  </w:num>
  <w:num w:numId="9">
    <w:abstractNumId w:val="10"/>
  </w:num>
  <w:num w:numId="10">
    <w:abstractNumId w:val="23"/>
  </w:num>
  <w:num w:numId="11">
    <w:abstractNumId w:val="38"/>
  </w:num>
  <w:num w:numId="12">
    <w:abstractNumId w:val="16"/>
  </w:num>
  <w:num w:numId="13">
    <w:abstractNumId w:val="32"/>
  </w:num>
  <w:num w:numId="14">
    <w:abstractNumId w:val="25"/>
  </w:num>
  <w:num w:numId="15">
    <w:abstractNumId w:val="13"/>
  </w:num>
  <w:num w:numId="16">
    <w:abstractNumId w:val="6"/>
  </w:num>
  <w:num w:numId="17">
    <w:abstractNumId w:val="1"/>
  </w:num>
  <w:num w:numId="18">
    <w:abstractNumId w:val="0"/>
  </w:num>
  <w:num w:numId="19">
    <w:abstractNumId w:val="14"/>
  </w:num>
  <w:num w:numId="20">
    <w:abstractNumId w:val="5"/>
  </w:num>
  <w:num w:numId="21">
    <w:abstractNumId w:val="30"/>
  </w:num>
  <w:num w:numId="22">
    <w:abstractNumId w:val="17"/>
  </w:num>
  <w:num w:numId="23">
    <w:abstractNumId w:val="18"/>
  </w:num>
  <w:num w:numId="24">
    <w:abstractNumId w:val="21"/>
  </w:num>
  <w:num w:numId="25">
    <w:abstractNumId w:val="26"/>
  </w:num>
  <w:num w:numId="26">
    <w:abstractNumId w:val="19"/>
  </w:num>
  <w:num w:numId="27">
    <w:abstractNumId w:val="24"/>
  </w:num>
  <w:num w:numId="28">
    <w:abstractNumId w:val="27"/>
  </w:num>
  <w:num w:numId="29">
    <w:abstractNumId w:val="20"/>
  </w:num>
  <w:num w:numId="30">
    <w:abstractNumId w:val="31"/>
  </w:num>
  <w:num w:numId="31">
    <w:abstractNumId w:val="29"/>
  </w:num>
  <w:num w:numId="32">
    <w:abstractNumId w:val="37"/>
  </w:num>
  <w:num w:numId="33">
    <w:abstractNumId w:val="8"/>
  </w:num>
  <w:num w:numId="34">
    <w:abstractNumId w:val="12"/>
  </w:num>
  <w:num w:numId="35">
    <w:abstractNumId w:val="33"/>
  </w:num>
  <w:num w:numId="36">
    <w:abstractNumId w:val="4"/>
  </w:num>
  <w:num w:numId="37">
    <w:abstractNumId w:val="3"/>
  </w:num>
  <w:num w:numId="38">
    <w:abstractNumId w:val="15"/>
  </w:num>
  <w:num w:numId="3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83A"/>
    <w:rsid w:val="00006D3E"/>
    <w:rsid w:val="00011083"/>
    <w:rsid w:val="000119C0"/>
    <w:rsid w:val="00012A2A"/>
    <w:rsid w:val="00012D5C"/>
    <w:rsid w:val="00012E0D"/>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1F26"/>
    <w:rsid w:val="00061FCE"/>
    <w:rsid w:val="000622DA"/>
    <w:rsid w:val="00062576"/>
    <w:rsid w:val="00062A74"/>
    <w:rsid w:val="00062E33"/>
    <w:rsid w:val="00064217"/>
    <w:rsid w:val="00064909"/>
    <w:rsid w:val="00065047"/>
    <w:rsid w:val="0006685F"/>
    <w:rsid w:val="00066ED7"/>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5177"/>
    <w:rsid w:val="000E0832"/>
    <w:rsid w:val="000E0BF0"/>
    <w:rsid w:val="000E0D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6D49"/>
    <w:rsid w:val="001A0E48"/>
    <w:rsid w:val="001A23D2"/>
    <w:rsid w:val="001A455B"/>
    <w:rsid w:val="001A4F26"/>
    <w:rsid w:val="001A6521"/>
    <w:rsid w:val="001A7019"/>
    <w:rsid w:val="001A70CB"/>
    <w:rsid w:val="001A7E8A"/>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176C"/>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6502"/>
    <w:rsid w:val="0028727D"/>
    <w:rsid w:val="00290080"/>
    <w:rsid w:val="0029195F"/>
    <w:rsid w:val="00291C07"/>
    <w:rsid w:val="00291C0E"/>
    <w:rsid w:val="00292204"/>
    <w:rsid w:val="002936E0"/>
    <w:rsid w:val="002945D4"/>
    <w:rsid w:val="00294F75"/>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80E"/>
    <w:rsid w:val="00336F7D"/>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80CBE"/>
    <w:rsid w:val="003847E5"/>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6BAB"/>
    <w:rsid w:val="005335CB"/>
    <w:rsid w:val="00533987"/>
    <w:rsid w:val="00534124"/>
    <w:rsid w:val="00535F5C"/>
    <w:rsid w:val="005365A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46BF"/>
    <w:rsid w:val="00577705"/>
    <w:rsid w:val="005804B5"/>
    <w:rsid w:val="00583DF4"/>
    <w:rsid w:val="005842DD"/>
    <w:rsid w:val="0058582A"/>
    <w:rsid w:val="00591F76"/>
    <w:rsid w:val="0059384F"/>
    <w:rsid w:val="00595476"/>
    <w:rsid w:val="00595DBE"/>
    <w:rsid w:val="0059615C"/>
    <w:rsid w:val="00596474"/>
    <w:rsid w:val="005973E1"/>
    <w:rsid w:val="00597DD9"/>
    <w:rsid w:val="005A0ACF"/>
    <w:rsid w:val="005A15BA"/>
    <w:rsid w:val="005A7F8C"/>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BD8"/>
    <w:rsid w:val="005F3C10"/>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160"/>
    <w:rsid w:val="0073683B"/>
    <w:rsid w:val="007369F1"/>
    <w:rsid w:val="00740643"/>
    <w:rsid w:val="00740FAC"/>
    <w:rsid w:val="00741F6A"/>
    <w:rsid w:val="00741FF5"/>
    <w:rsid w:val="00742294"/>
    <w:rsid w:val="0074256A"/>
    <w:rsid w:val="007429FF"/>
    <w:rsid w:val="00742D95"/>
    <w:rsid w:val="00743E80"/>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36EF"/>
    <w:rsid w:val="007755DF"/>
    <w:rsid w:val="00775CBA"/>
    <w:rsid w:val="007770F7"/>
    <w:rsid w:val="007776D1"/>
    <w:rsid w:val="0078119E"/>
    <w:rsid w:val="00782601"/>
    <w:rsid w:val="00782C76"/>
    <w:rsid w:val="007833DC"/>
    <w:rsid w:val="00785115"/>
    <w:rsid w:val="007852BA"/>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8FD"/>
    <w:rsid w:val="007D4EF9"/>
    <w:rsid w:val="007D5425"/>
    <w:rsid w:val="007D5DA8"/>
    <w:rsid w:val="007D5DE1"/>
    <w:rsid w:val="007D6201"/>
    <w:rsid w:val="007D70D2"/>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2198"/>
    <w:rsid w:val="00822995"/>
    <w:rsid w:val="00823AB1"/>
    <w:rsid w:val="00826146"/>
    <w:rsid w:val="00826D56"/>
    <w:rsid w:val="008363C6"/>
    <w:rsid w:val="0084015A"/>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732"/>
    <w:rsid w:val="009B5895"/>
    <w:rsid w:val="009B6A4E"/>
    <w:rsid w:val="009C3FD8"/>
    <w:rsid w:val="009C4701"/>
    <w:rsid w:val="009C4DA4"/>
    <w:rsid w:val="009C69E3"/>
    <w:rsid w:val="009C6C1C"/>
    <w:rsid w:val="009C7C3C"/>
    <w:rsid w:val="009D2A44"/>
    <w:rsid w:val="009D3A8D"/>
    <w:rsid w:val="009D5116"/>
    <w:rsid w:val="009D59F9"/>
    <w:rsid w:val="009D6E61"/>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9F6"/>
    <w:rsid w:val="00B51D14"/>
    <w:rsid w:val="00B53076"/>
    <w:rsid w:val="00B53F6F"/>
    <w:rsid w:val="00B56801"/>
    <w:rsid w:val="00B568F2"/>
    <w:rsid w:val="00B6110E"/>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6004"/>
    <w:rsid w:val="00D063B8"/>
    <w:rsid w:val="00D07003"/>
    <w:rsid w:val="00D07E6D"/>
    <w:rsid w:val="00D1057C"/>
    <w:rsid w:val="00D12733"/>
    <w:rsid w:val="00D13851"/>
    <w:rsid w:val="00D13FB7"/>
    <w:rsid w:val="00D14C7B"/>
    <w:rsid w:val="00D22696"/>
    <w:rsid w:val="00D245AE"/>
    <w:rsid w:val="00D26387"/>
    <w:rsid w:val="00D273A8"/>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14E8"/>
    <w:rsid w:val="00F21600"/>
    <w:rsid w:val="00F22360"/>
    <w:rsid w:val="00F228EC"/>
    <w:rsid w:val="00F25920"/>
    <w:rsid w:val="00F25F42"/>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D905F26"/>
    <w:rsid w:val="1B2D49D7"/>
    <w:rsid w:val="2C8D644C"/>
    <w:rsid w:val="303CECDF"/>
    <w:rsid w:val="332D5603"/>
    <w:rsid w:val="353D9A47"/>
    <w:rsid w:val="421E4D2C"/>
    <w:rsid w:val="4627179B"/>
    <w:rsid w:val="4BD291BB"/>
    <w:rsid w:val="53A14070"/>
    <w:rsid w:val="56D8E132"/>
    <w:rsid w:val="5874B193"/>
    <w:rsid w:val="61FE1A37"/>
    <w:rsid w:val="625D7844"/>
    <w:rsid w:val="625F5BD8"/>
    <w:rsid w:val="669709AF"/>
    <w:rsid w:val="66EB0404"/>
    <w:rsid w:val="689A18A0"/>
    <w:rsid w:val="7D4A0716"/>
    <w:rsid w:val="7E35D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5AIRPNAIUNRU-1328258698-2512</_dlc_DocId>
    <_dlc_DocIdUrl xmlns="71c5aaf6-e6ce-465b-b873-5148d2a4c105">
      <Url>https://nokia.sharepoint.com/sites/c5g/5gradio/_layouts/15/DocIdRedir.aspx?ID=5AIRPNAIUNRU-1328258698-2512</Url>
      <Description>5AIRPNAIUNRU-1328258698-2512</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documentManagement/types"/>
    <ds:schemaRef ds:uri="http://purl.org/dc/terms/"/>
    <ds:schemaRef ds:uri="71c5aaf6-e6ce-465b-b873-5148d2a4c105"/>
    <ds:schemaRef ds:uri="0b6aed8e-0313-4d17-80ff-d0e5da4931c5"/>
    <ds:schemaRef ds:uri="3b34c8f0-1ef5-4d1e-bb66-517ce7fe7356"/>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5.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6.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2190</Words>
  <Characters>12487</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
      <vt:lpstr>Introduction</vt:lpstr>
      <vt:lpstr>Discussion</vt:lpstr>
      <vt:lpstr>Conclusion</vt:lpstr>
      <vt:lpstr>References</vt:lpstr>
      <vt:lpstr>3GPP report skeleton</vt:lpstr>
    </vt:vector>
  </TitlesOfParts>
  <Company>ETSI-MCC</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2021-04-02T17:55:00Z</dcterms:created>
  <dcterms:modified xsi:type="dcterms:W3CDTF">2021-04-02T17:55:00Z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91d472e5-f81f-478d-b683-3c38d39c4f02</vt:lpwstr>
  </property>
</Properties>
</file>